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CB" w:rsidRPr="00C075C4" w:rsidRDefault="005733CB" w:rsidP="00C075C4">
      <w:pPr>
        <w:pStyle w:val="Heading1"/>
      </w:pPr>
      <w:r w:rsidRPr="00C075C4">
        <w:t xml:space="preserve">Table 6.1: Projected </w:t>
      </w:r>
      <w:r w:rsidR="007A4F8E" w:rsidRPr="00C075C4">
        <w:t>households by size,</w:t>
      </w:r>
      <w:r w:rsidR="00961B40" w:rsidRPr="00C075C4">
        <w:t xml:space="preserve"> Northern Ireland, 2016–2041</w:t>
      </w:r>
    </w:p>
    <w:p w:rsidR="005733CB" w:rsidRPr="00C075C4" w:rsidRDefault="005733CB" w:rsidP="00C075C4">
      <w:pPr>
        <w:pStyle w:val="Heading2"/>
      </w:pPr>
      <w:bookmarkStart w:id="0" w:name="OLE_LINK2"/>
      <w:bookmarkStart w:id="1" w:name="OLE_LINK1"/>
      <w:r w:rsidRPr="00C075C4">
        <w:t xml:space="preserve">Table 6.2: Projected </w:t>
      </w:r>
      <w:r w:rsidR="007A4F8E" w:rsidRPr="00C075C4">
        <w:t>households by type</w:t>
      </w:r>
      <w:r w:rsidR="00961B40" w:rsidRPr="00C075C4">
        <w:t>, Northern Ireland, 2016–2041</w:t>
      </w:r>
      <w:bookmarkEnd w:id="0"/>
      <w:bookmarkEnd w:id="1"/>
    </w:p>
    <w:p w:rsidR="005733CB" w:rsidRPr="00C075C4" w:rsidRDefault="005733CB" w:rsidP="00C075C4">
      <w:pPr>
        <w:pStyle w:val="Heading3"/>
      </w:pPr>
      <w:r w:rsidRPr="00C075C4">
        <w:t xml:space="preserve">Table 6.3: Projected </w:t>
      </w:r>
      <w:r w:rsidR="007A4F8E" w:rsidRPr="00C075C4">
        <w:t>households by 11 new local government districts</w:t>
      </w:r>
      <w:r w:rsidR="00961B40" w:rsidRPr="00C075C4">
        <w:t>, Northern Ireland, 2016–2041</w:t>
      </w:r>
    </w:p>
    <w:p w:rsidR="005733CB" w:rsidRPr="00961B40" w:rsidRDefault="005733CB" w:rsidP="00C075C4">
      <w:pPr>
        <w:autoSpaceDE w:val="0"/>
        <w:autoSpaceDN w:val="0"/>
        <w:adjustRightInd w:val="0"/>
        <w:spacing w:before="120" w:after="120"/>
        <w:jc w:val="both"/>
        <w:rPr>
          <w:rFonts w:ascii="Arial" w:hAnsi="Arial" w:cs="Arial"/>
          <w:bCs/>
        </w:rPr>
      </w:pPr>
      <w:r w:rsidRPr="00961B40">
        <w:rPr>
          <w:rFonts w:ascii="Arial" w:hAnsi="Arial" w:cs="Arial"/>
        </w:rPr>
        <w:t xml:space="preserve">Tables 6.1, 6.2 and 6.3 produced by the Northern Ireland Statistics and Research Agency (NISRA) include data taken from the </w:t>
      </w:r>
      <w:r w:rsidR="00961B40" w:rsidRPr="00961B40">
        <w:rPr>
          <w:rFonts w:ascii="Arial" w:hAnsi="Arial" w:cs="Arial"/>
          <w:bCs/>
        </w:rPr>
        <w:t>2016</w:t>
      </w:r>
      <w:r w:rsidR="007A4F8E" w:rsidRPr="00961B40">
        <w:rPr>
          <w:rFonts w:ascii="Arial" w:hAnsi="Arial" w:cs="Arial"/>
          <w:bCs/>
        </w:rPr>
        <w:t xml:space="preserve"> B</w:t>
      </w:r>
      <w:r w:rsidRPr="00961B40">
        <w:rPr>
          <w:rFonts w:ascii="Arial" w:hAnsi="Arial" w:cs="Arial"/>
          <w:bCs/>
        </w:rPr>
        <w:t xml:space="preserve">ased Northern Ireland Household Projections (a National Statistics report). </w:t>
      </w:r>
      <w:r w:rsidRPr="00961B40">
        <w:rPr>
          <w:rFonts w:ascii="Arial" w:hAnsi="Arial" w:cs="Arial"/>
        </w:rPr>
        <w:t>Household projections are based on population projections published by the Office for National Statistics and NISRA. Population projections are based on future fertility, mortality and migration assumptions. The p</w:t>
      </w:r>
      <w:r w:rsidR="00961B40" w:rsidRPr="00961B40">
        <w:rPr>
          <w:rFonts w:ascii="Arial" w:hAnsi="Arial" w:cs="Arial"/>
        </w:rPr>
        <w:t>rojections are based on the 2016</w:t>
      </w:r>
      <w:r w:rsidRPr="00961B40">
        <w:rPr>
          <w:rFonts w:ascii="Arial" w:hAnsi="Arial" w:cs="Arial"/>
        </w:rPr>
        <w:t xml:space="preserve"> population estimates and the trends in household formation from the 2001 and 2011 Census.</w:t>
      </w:r>
      <w:r w:rsidRPr="00961B40">
        <w:rPr>
          <w:rFonts w:ascii="Arial" w:hAnsi="Arial" w:cs="Arial"/>
          <w:noProof/>
          <w:lang w:eastAsia="en-GB"/>
        </w:rPr>
        <w:t xml:space="preserve"> </w:t>
      </w:r>
      <w:r w:rsidRPr="00961B40">
        <w:rPr>
          <w:rFonts w:ascii="Arial" w:hAnsi="Arial" w:cs="Arial"/>
          <w:bCs/>
        </w:rPr>
        <w:t>Refer to the following report for information on the methodology used:</w:t>
      </w:r>
    </w:p>
    <w:p w:rsidR="00961B40" w:rsidRPr="00C075C4" w:rsidRDefault="00F06601" w:rsidP="00C075C4">
      <w:pPr>
        <w:pStyle w:val="Style1"/>
        <w:numPr>
          <w:ilvl w:val="0"/>
          <w:numId w:val="0"/>
        </w:numPr>
        <w:tabs>
          <w:tab w:val="left" w:pos="720"/>
        </w:tabs>
        <w:spacing w:before="120" w:after="120" w:line="259" w:lineRule="auto"/>
        <w:rPr>
          <w:rFonts w:ascii="Arial" w:hAnsi="Arial" w:cs="Arial"/>
          <w:sz w:val="22"/>
          <w:szCs w:val="22"/>
        </w:rPr>
      </w:pPr>
      <w:hyperlink r:id="rId7" w:history="1">
        <w:r w:rsidR="00AD678C">
          <w:rPr>
            <w:rStyle w:val="Hyperlink"/>
            <w:rFonts w:ascii="Arial" w:hAnsi="Arial" w:cs="Arial"/>
            <w:sz w:val="22"/>
            <w:szCs w:val="22"/>
          </w:rPr>
          <w:t xml:space="preserve">Household </w:t>
        </w:r>
        <w:r w:rsidR="00AC0A80">
          <w:rPr>
            <w:rStyle w:val="Hyperlink"/>
            <w:rFonts w:ascii="Arial" w:hAnsi="Arial" w:cs="Arial"/>
            <w:sz w:val="22"/>
            <w:szCs w:val="22"/>
          </w:rPr>
          <w:t>Projections</w:t>
        </w:r>
        <w:r w:rsidR="00AD678C">
          <w:rPr>
            <w:rStyle w:val="Hyperlink"/>
            <w:rFonts w:ascii="Arial" w:hAnsi="Arial" w:cs="Arial"/>
            <w:sz w:val="22"/>
            <w:szCs w:val="22"/>
          </w:rPr>
          <w:t xml:space="preserve"> 2016 based</w:t>
        </w:r>
      </w:hyperlink>
    </w:p>
    <w:p w:rsidR="00C91A07" w:rsidRPr="00C075C4" w:rsidRDefault="00C91A07" w:rsidP="00C075C4">
      <w:pPr>
        <w:pStyle w:val="Heading4"/>
      </w:pPr>
      <w:r w:rsidRPr="00C075C4">
        <w:t>Table 6.4: Accommodation by tenure 2019-20</w:t>
      </w:r>
    </w:p>
    <w:p w:rsidR="00C91A07" w:rsidRPr="00DC0964" w:rsidRDefault="00C91A07" w:rsidP="00C075C4">
      <w:pPr>
        <w:pStyle w:val="NormalWeb"/>
        <w:spacing w:before="120" w:beforeAutospacing="0" w:after="120" w:afterAutospacing="0" w:line="259" w:lineRule="auto"/>
        <w:rPr>
          <w:b/>
          <w:bCs/>
          <w:color w:val="7030A0"/>
        </w:rPr>
      </w:pPr>
      <w:r w:rsidRPr="00DC0964">
        <w:rPr>
          <w:rFonts w:ascii="Arial" w:hAnsi="Arial" w:cs="Arial"/>
          <w:b/>
          <w:bCs/>
          <w:color w:val="7030A0"/>
        </w:rPr>
        <w:t>Description of data</w:t>
      </w:r>
    </w:p>
    <w:p w:rsidR="00C91A07" w:rsidRPr="00C075C4" w:rsidRDefault="00C91A07" w:rsidP="00C075C4">
      <w:pPr>
        <w:pStyle w:val="NormalWeb"/>
        <w:spacing w:before="120" w:beforeAutospacing="0" w:after="120" w:afterAutospacing="0" w:line="259" w:lineRule="auto"/>
        <w:jc w:val="both"/>
        <w:rPr>
          <w:rFonts w:ascii="Arial" w:hAnsi="Arial" w:cs="Arial"/>
          <w:sz w:val="22"/>
          <w:szCs w:val="22"/>
          <w:highlight w:val="yellow"/>
        </w:rPr>
      </w:pPr>
      <w:r w:rsidRPr="008E50D3">
        <w:rPr>
          <w:rFonts w:ascii="Arial" w:hAnsi="Arial" w:cs="Arial"/>
          <w:sz w:val="22"/>
          <w:szCs w:val="22"/>
        </w:rPr>
        <w:t>The</w:t>
      </w:r>
      <w:r>
        <w:rPr>
          <w:rFonts w:ascii="Arial" w:hAnsi="Arial" w:cs="Arial"/>
          <w:sz w:val="22"/>
          <w:szCs w:val="22"/>
        </w:rPr>
        <w:t xml:space="preserve"> information contained in Table 6.4 is </w:t>
      </w:r>
      <w:r w:rsidRPr="008E50D3">
        <w:rPr>
          <w:rFonts w:ascii="Arial" w:hAnsi="Arial" w:cs="Arial"/>
          <w:sz w:val="22"/>
          <w:szCs w:val="22"/>
        </w:rPr>
        <w:t xml:space="preserve">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w:t>
      </w:r>
      <w:r w:rsidRPr="00DC0964">
        <w:rPr>
          <w:rFonts w:ascii="Arial" w:hAnsi="Arial" w:cs="Arial"/>
          <w:sz w:val="22"/>
          <w:szCs w:val="22"/>
        </w:rPr>
        <w:t>social and economic issues relevant to Norther</w:t>
      </w:r>
      <w:r>
        <w:rPr>
          <w:rFonts w:ascii="Arial" w:hAnsi="Arial" w:cs="Arial"/>
          <w:sz w:val="22"/>
          <w:szCs w:val="22"/>
        </w:rPr>
        <w:t>n Ireland. The sample for Table</w:t>
      </w:r>
      <w:r w:rsidRPr="00DC0964">
        <w:rPr>
          <w:rFonts w:ascii="Arial" w:hAnsi="Arial" w:cs="Arial"/>
          <w:sz w:val="22"/>
          <w:szCs w:val="22"/>
        </w:rPr>
        <w:t xml:space="preserve"> 6.4 contained </w:t>
      </w:r>
      <w:r w:rsidR="0076676E">
        <w:rPr>
          <w:rFonts w:ascii="Arial" w:hAnsi="Arial" w:cs="Arial"/>
          <w:sz w:val="22"/>
          <w:szCs w:val="22"/>
        </w:rPr>
        <w:t>4,557</w:t>
      </w:r>
      <w:r w:rsidRPr="0053569F">
        <w:rPr>
          <w:rFonts w:ascii="Arial" w:hAnsi="Arial" w:cs="Arial"/>
          <w:sz w:val="22"/>
          <w:szCs w:val="22"/>
        </w:rPr>
        <w:t xml:space="preserve"> </w:t>
      </w:r>
      <w:r w:rsidRPr="00DC0964">
        <w:rPr>
          <w:rFonts w:ascii="Arial" w:hAnsi="Arial" w:cs="Arial"/>
          <w:sz w:val="22"/>
          <w:szCs w:val="22"/>
        </w:rPr>
        <w:t>households</w:t>
      </w:r>
      <w:r w:rsidRPr="00CC7707">
        <w:rPr>
          <w:rFonts w:ascii="Arial" w:hAnsi="Arial" w:cs="Arial"/>
          <w:sz w:val="22"/>
          <w:szCs w:val="22"/>
        </w:rPr>
        <w:t>.</w:t>
      </w:r>
    </w:p>
    <w:p w:rsidR="00C91A07" w:rsidRPr="00DC0964" w:rsidRDefault="00C91A07" w:rsidP="00C075C4">
      <w:pPr>
        <w:pStyle w:val="NormalWeb"/>
        <w:spacing w:before="120" w:beforeAutospacing="0" w:after="120" w:afterAutospacing="0" w:line="259" w:lineRule="auto"/>
        <w:jc w:val="both"/>
        <w:rPr>
          <w:rFonts w:ascii="Arial" w:hAnsi="Arial" w:cs="Arial"/>
          <w:b/>
          <w:bCs/>
          <w:color w:val="7030A0"/>
        </w:rPr>
      </w:pPr>
      <w:r w:rsidRPr="00DC0964">
        <w:rPr>
          <w:rFonts w:ascii="Arial" w:hAnsi="Arial" w:cs="Arial"/>
          <w:b/>
          <w:bCs/>
          <w:color w:val="7030A0"/>
        </w:rPr>
        <w:t>Data Quality</w:t>
      </w:r>
    </w:p>
    <w:p w:rsidR="00C91A07" w:rsidRPr="00DC0964" w:rsidRDefault="00C91A07" w:rsidP="00C075C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Relevance</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sz w:val="22"/>
          <w:szCs w:val="22"/>
        </w:rPr>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rsidR="00C91A07" w:rsidRPr="00DC0964" w:rsidRDefault="00C91A07" w:rsidP="00C075C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Accessibility and Clarity</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8" w:history="1">
        <w:r w:rsidR="0076676E" w:rsidRPr="0076676E">
          <w:rPr>
            <w:rStyle w:val="Hyperlink"/>
            <w:rFonts w:ascii="Arial" w:hAnsi="Arial" w:cs="Arial"/>
            <w:sz w:val="22"/>
            <w:szCs w:val="22"/>
          </w:rPr>
          <w:t>Continuous Household Survey</w:t>
        </w:r>
      </w:hyperlink>
      <w:r w:rsidRPr="00547F65">
        <w:rPr>
          <w:rStyle w:val="Hyperlink"/>
          <w:rFonts w:eastAsiaTheme="minorEastAsia"/>
          <w:lang w:eastAsia="en-US"/>
        </w:rPr>
        <w:t>.</w:t>
      </w:r>
      <w:r>
        <w:rPr>
          <w:rFonts w:ascii="Arial" w:hAnsi="Arial" w:cs="Arial"/>
          <w:color w:val="FF0000"/>
          <w:sz w:val="22"/>
          <w:szCs w:val="22"/>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rsidR="00C91A07" w:rsidRPr="00DC0964" w:rsidRDefault="00C91A07" w:rsidP="00C075C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Accuracy</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lastRenderedPageBreak/>
        <w:t xml:space="preserve">Coverage Errors -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w:t>
      </w:r>
      <w:r>
        <w:rPr>
          <w:rFonts w:ascii="Arial" w:hAnsi="Arial" w:cs="Arial"/>
          <w:sz w:val="22"/>
          <w:szCs w:val="22"/>
        </w:rPr>
        <w:t xml:space="preserve"> to the data contained in Table</w:t>
      </w:r>
      <w:r w:rsidRPr="008E50D3">
        <w:rPr>
          <w:rFonts w:ascii="Arial" w:hAnsi="Arial" w:cs="Arial"/>
          <w:sz w:val="22"/>
          <w:szCs w:val="22"/>
        </w:rPr>
        <w:t xml:space="preserve"> 6.4 are negligible. </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53569F">
        <w:rPr>
          <w:rFonts w:ascii="Arial" w:hAnsi="Arial" w:cs="Arial"/>
          <w:sz w:val="22"/>
          <w:szCs w:val="22"/>
        </w:rPr>
        <w:t>Data is coded and fully validated by CSU statistical staff.</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0A05E9">
        <w:rPr>
          <w:rFonts w:ascii="Arial" w:hAnsi="Arial" w:cs="Arial"/>
          <w:color w:val="000000" w:themeColor="text1"/>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53569F">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rsidR="00C91A07" w:rsidRPr="0053569F"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Pr>
          <w:rFonts w:ascii="Arial" w:hAnsi="Arial" w:cs="Arial"/>
          <w:sz w:val="22"/>
          <w:szCs w:val="22"/>
        </w:rPr>
        <w:t>55</w:t>
      </w:r>
      <w:r w:rsidRPr="0053569F">
        <w:rPr>
          <w:rFonts w:ascii="Arial" w:hAnsi="Arial" w:cs="Arial"/>
          <w:sz w:val="22"/>
          <w:szCs w:val="22"/>
        </w:rPr>
        <w:t xml:space="preserve">%. </w:t>
      </w:r>
      <w:r w:rsidRPr="008E50D3">
        <w:rPr>
          <w:rFonts w:ascii="Arial" w:hAnsi="Arial" w:cs="Arial"/>
          <w:sz w:val="22"/>
          <w:szCs w:val="22"/>
        </w:rPr>
        <w:t xml:space="preserve">That is, obtaining interviews at </w:t>
      </w:r>
      <w:r>
        <w:rPr>
          <w:rFonts w:ascii="Arial" w:hAnsi="Arial" w:cs="Arial"/>
          <w:sz w:val="22"/>
          <w:szCs w:val="22"/>
        </w:rPr>
        <w:t>55</w:t>
      </w:r>
      <w:r w:rsidRPr="0053569F">
        <w:rPr>
          <w:rFonts w:ascii="Arial" w:hAnsi="Arial" w:cs="Arial"/>
          <w:sz w:val="22"/>
          <w:szCs w:val="22"/>
        </w:rPr>
        <w:t xml:space="preserve">% </w:t>
      </w:r>
      <w:r w:rsidRPr="008E50D3">
        <w:rPr>
          <w:rFonts w:ascii="Arial" w:hAnsi="Arial" w:cs="Arial"/>
          <w:sz w:val="22"/>
          <w:szCs w:val="22"/>
        </w:rPr>
        <w:t>of eligible addresses. Addresses whic</w:t>
      </w:r>
      <w:r w:rsidRPr="00653A30">
        <w:rPr>
          <w:rFonts w:ascii="Arial" w:hAnsi="Arial" w:cs="Arial"/>
          <w:sz w:val="22"/>
          <w:szCs w:val="22"/>
        </w:rPr>
        <w:t>h are vacant, derelict etc</w:t>
      </w:r>
      <w:r>
        <w:rPr>
          <w:rFonts w:ascii="Arial" w:hAnsi="Arial" w:cs="Arial"/>
          <w:sz w:val="22"/>
          <w:szCs w:val="22"/>
        </w:rPr>
        <w:t>.</w:t>
      </w:r>
      <w:r w:rsidRPr="00653A30">
        <w:rPr>
          <w:rFonts w:ascii="Arial" w:hAnsi="Arial" w:cs="Arial"/>
          <w:sz w:val="22"/>
          <w:szCs w:val="22"/>
        </w:rPr>
        <w:t xml:space="preserve"> and which do not contain people are deemed to be ineligible. The response rate </w:t>
      </w:r>
      <w:r w:rsidRPr="00CC7707">
        <w:rPr>
          <w:rFonts w:ascii="Arial" w:hAnsi="Arial" w:cs="Arial"/>
          <w:sz w:val="22"/>
          <w:szCs w:val="22"/>
        </w:rPr>
        <w:t xml:space="preserve">achieved on </w:t>
      </w:r>
      <w:r w:rsidRPr="00DC0964">
        <w:rPr>
          <w:rFonts w:ascii="Arial" w:hAnsi="Arial" w:cs="Arial"/>
          <w:sz w:val="22"/>
          <w:szCs w:val="22"/>
        </w:rPr>
        <w:t xml:space="preserve">the </w:t>
      </w:r>
      <w:r>
        <w:rPr>
          <w:rFonts w:ascii="Arial" w:hAnsi="Arial" w:cs="Arial"/>
          <w:sz w:val="22"/>
          <w:szCs w:val="22"/>
        </w:rPr>
        <w:t>2019/20</w:t>
      </w:r>
      <w:r w:rsidRPr="0053569F">
        <w:rPr>
          <w:rFonts w:ascii="Arial" w:hAnsi="Arial" w:cs="Arial"/>
          <w:sz w:val="22"/>
          <w:szCs w:val="22"/>
        </w:rPr>
        <w:t xml:space="preserve"> </w:t>
      </w:r>
      <w:r w:rsidRPr="00DC0964">
        <w:rPr>
          <w:rFonts w:ascii="Arial" w:hAnsi="Arial" w:cs="Arial"/>
          <w:sz w:val="22"/>
          <w:szCs w:val="22"/>
        </w:rPr>
        <w:t xml:space="preserve">CHS </w:t>
      </w:r>
      <w:r w:rsidRPr="00CC7707">
        <w:rPr>
          <w:rFonts w:ascii="Arial" w:hAnsi="Arial" w:cs="Arial"/>
          <w:sz w:val="22"/>
          <w:szCs w:val="22"/>
        </w:rPr>
        <w:t xml:space="preserve">was </w:t>
      </w:r>
      <w:r>
        <w:rPr>
          <w:rFonts w:ascii="Arial" w:hAnsi="Arial" w:cs="Arial"/>
          <w:sz w:val="22"/>
          <w:szCs w:val="22"/>
        </w:rPr>
        <w:t>58</w:t>
      </w:r>
      <w:r w:rsidRPr="0053569F">
        <w:rPr>
          <w:rFonts w:ascii="Arial" w:hAnsi="Arial" w:cs="Arial"/>
          <w:sz w:val="22"/>
          <w:szCs w:val="22"/>
        </w:rPr>
        <w:t>%.</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unweighted although some clients choose to apply weights to the data because of the nature of the topic under analys</w:t>
      </w:r>
      <w:r>
        <w:rPr>
          <w:rFonts w:ascii="Arial" w:hAnsi="Arial" w:cs="Arial"/>
          <w:sz w:val="22"/>
          <w:szCs w:val="22"/>
        </w:rPr>
        <w:t>is. The data contained in Table</w:t>
      </w:r>
      <w:r w:rsidRPr="008E50D3">
        <w:rPr>
          <w:rFonts w:ascii="Arial" w:hAnsi="Arial" w:cs="Arial"/>
          <w:sz w:val="22"/>
          <w:szCs w:val="22"/>
        </w:rPr>
        <w:t xml:space="preserve"> 6.4 is unweighted.</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on CHS, there are no proxy interviews. The household schedule</w:t>
      </w:r>
      <w:r>
        <w:rPr>
          <w:rFonts w:ascii="Arial" w:hAnsi="Arial" w:cs="Arial"/>
          <w:sz w:val="22"/>
          <w:szCs w:val="22"/>
        </w:rPr>
        <w:t>, from which the data in Table</w:t>
      </w:r>
      <w:r w:rsidRPr="008E50D3">
        <w:rPr>
          <w:rFonts w:ascii="Arial" w:hAnsi="Arial" w:cs="Arial"/>
          <w:sz w:val="22"/>
          <w:szCs w:val="22"/>
        </w:rPr>
        <w:t xml:space="preserve"> 6.4 </w:t>
      </w:r>
      <w:r>
        <w:rPr>
          <w:rFonts w:ascii="Arial" w:hAnsi="Arial" w:cs="Arial"/>
          <w:sz w:val="22"/>
          <w:szCs w:val="22"/>
        </w:rPr>
        <w:t>is</w:t>
      </w:r>
      <w:r w:rsidRPr="008E50D3">
        <w:rPr>
          <w:rFonts w:ascii="Arial" w:hAnsi="Arial" w:cs="Arial"/>
          <w:sz w:val="22"/>
          <w:szCs w:val="22"/>
        </w:rPr>
        <w:t xml:space="preserve"> collected, is answered by the Household Reference Person (HRP) or spouse on behalf of the whole household.</w:t>
      </w:r>
    </w:p>
    <w:p w:rsidR="00C91A07" w:rsidRDefault="00C91A07" w:rsidP="00C075C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Imputation rates </w:t>
      </w:r>
      <w:r w:rsidRPr="008E50D3">
        <w:rPr>
          <w:rFonts w:ascii="Arial" w:hAnsi="Arial" w:cs="Arial"/>
          <w:sz w:val="22"/>
          <w:szCs w:val="22"/>
        </w:rPr>
        <w:t>- no imputation of data occurs on CHS.</w:t>
      </w:r>
    </w:p>
    <w:p w:rsidR="00C91A07" w:rsidRDefault="00C91A07" w:rsidP="00C075C4">
      <w:pPr>
        <w:pStyle w:val="Default"/>
        <w:spacing w:before="120" w:after="120" w:line="259" w:lineRule="auto"/>
        <w:jc w:val="both"/>
        <w:rPr>
          <w:sz w:val="22"/>
          <w:szCs w:val="22"/>
        </w:rPr>
      </w:pPr>
      <w:r w:rsidRPr="00CC7707">
        <w:rPr>
          <w:b/>
          <w:bCs/>
          <w:sz w:val="22"/>
          <w:szCs w:val="22"/>
        </w:rPr>
        <w:t xml:space="preserve">Sampling Error </w:t>
      </w:r>
      <w:r w:rsidRPr="00CC7707">
        <w:rPr>
          <w:sz w:val="22"/>
          <w:szCs w:val="22"/>
        </w:rPr>
        <w:t xml:space="preserve">- Because CHS data is based on a sample rather than the whole populations it is subject to sampling error.  Sampling error is the difference between the estimate derived from a sample and the 'true' value that would result if a census of the whole population were taken under the same conditions. </w:t>
      </w:r>
    </w:p>
    <w:p w:rsidR="00C91A07" w:rsidRPr="00DC0964" w:rsidRDefault="00C91A07" w:rsidP="00C075C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lastRenderedPageBreak/>
        <w:t xml:space="preserve">Timeliness </w:t>
      </w:r>
    </w:p>
    <w:p w:rsidR="00C91A07" w:rsidRPr="008E50D3" w:rsidRDefault="00C91A07" w:rsidP="00C075C4">
      <w:pPr>
        <w:pStyle w:val="NormalWeb"/>
        <w:spacing w:before="120" w:beforeAutospacing="0" w:after="120" w:afterAutospacing="0" w:line="259"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Pr>
          <w:rFonts w:ascii="Arial" w:hAnsi="Arial" w:cs="Arial"/>
          <w:sz w:val="22"/>
          <w:szCs w:val="22"/>
        </w:rPr>
        <w:t>CHS 2019/20</w:t>
      </w:r>
      <w:r w:rsidRPr="0053569F">
        <w:rPr>
          <w:rFonts w:ascii="Arial" w:hAnsi="Arial" w:cs="Arial"/>
          <w:sz w:val="22"/>
          <w:szCs w:val="22"/>
        </w:rPr>
        <w:t xml:space="preserve"> </w:t>
      </w:r>
      <w:r w:rsidRPr="00E3137C">
        <w:rPr>
          <w:rFonts w:ascii="Arial" w:hAnsi="Arial" w:cs="Arial"/>
          <w:sz w:val="22"/>
          <w:szCs w:val="22"/>
        </w:rPr>
        <w:t xml:space="preserve">became </w:t>
      </w:r>
      <w:r w:rsidRPr="00CC7707">
        <w:rPr>
          <w:rFonts w:ascii="Arial" w:hAnsi="Arial" w:cs="Arial"/>
          <w:sz w:val="22"/>
          <w:szCs w:val="22"/>
        </w:rPr>
        <w:t xml:space="preserve">available in </w:t>
      </w:r>
      <w:r>
        <w:rPr>
          <w:rFonts w:ascii="Arial" w:hAnsi="Arial" w:cs="Arial"/>
          <w:sz w:val="22"/>
          <w:szCs w:val="22"/>
        </w:rPr>
        <w:t>June 2020</w:t>
      </w:r>
      <w:r w:rsidRPr="00DC0964">
        <w:rPr>
          <w:rFonts w:ascii="Arial" w:hAnsi="Arial" w:cs="Arial"/>
          <w:sz w:val="22"/>
          <w:szCs w:val="22"/>
        </w:rPr>
        <w:t>.</w:t>
      </w:r>
    </w:p>
    <w:p w:rsidR="00C91A07" w:rsidRPr="00DC0964" w:rsidRDefault="00C91A07" w:rsidP="00C075C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Coherence and Comparability</w:t>
      </w:r>
    </w:p>
    <w:p w:rsidR="00323C3B" w:rsidRPr="00C075C4" w:rsidRDefault="00C91A07" w:rsidP="00C075C4">
      <w:pPr>
        <w:spacing w:before="120" w:after="120"/>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bookmarkStart w:id="2" w:name="OLE_LINK4"/>
      <w:bookmarkStart w:id="3" w:name="OLE_LINK3"/>
    </w:p>
    <w:p w:rsidR="001A34E2" w:rsidRPr="00C075C4" w:rsidRDefault="001A34E2" w:rsidP="00C075C4">
      <w:pPr>
        <w:pStyle w:val="Heading5"/>
      </w:pPr>
      <w:r w:rsidRPr="00C075C4">
        <w:t>Table 6.5: Household Type by Dwelling Tenure 2016</w:t>
      </w:r>
    </w:p>
    <w:p w:rsidR="001A34E2" w:rsidRPr="00C075C4" w:rsidRDefault="001A34E2" w:rsidP="00C075C4">
      <w:pPr>
        <w:pStyle w:val="Heading6"/>
      </w:pPr>
      <w:r w:rsidRPr="00C075C4">
        <w:t>Table 6.6: Household Type by Dwelling Type 2016</w:t>
      </w:r>
    </w:p>
    <w:p w:rsidR="001A34E2" w:rsidRDefault="001A34E2" w:rsidP="00C075C4">
      <w:pPr>
        <w:pStyle w:val="NormalWeb"/>
        <w:spacing w:before="120" w:beforeAutospacing="0" w:after="120" w:afterAutospacing="0" w:line="259" w:lineRule="auto"/>
        <w:jc w:val="both"/>
        <w:rPr>
          <w:rFonts w:ascii="Arial" w:hAnsi="Arial" w:cs="Arial"/>
          <w:b/>
          <w:bCs/>
          <w:color w:val="7030A0"/>
        </w:rPr>
      </w:pPr>
      <w:r>
        <w:rPr>
          <w:rFonts w:ascii="Arial" w:hAnsi="Arial" w:cs="Arial"/>
          <w:b/>
          <w:bCs/>
          <w:color w:val="7030A0"/>
        </w:rPr>
        <w:t>Data Quality</w:t>
      </w:r>
    </w:p>
    <w:p w:rsidR="001A34E2" w:rsidRDefault="001A34E2" w:rsidP="00C075C4">
      <w:pPr>
        <w:pStyle w:val="NormalWeb"/>
        <w:spacing w:before="120" w:beforeAutospacing="0" w:after="120" w:afterAutospacing="0" w:line="259" w:lineRule="auto"/>
        <w:jc w:val="both"/>
        <w:rPr>
          <w:rFonts w:ascii="Arial" w:hAnsi="Arial" w:cs="Arial"/>
          <w:bCs/>
          <w:i/>
          <w:color w:val="7030A0"/>
        </w:rPr>
      </w:pPr>
      <w:r>
        <w:rPr>
          <w:rFonts w:ascii="Arial" w:hAnsi="Arial" w:cs="Arial"/>
          <w:bCs/>
          <w:i/>
          <w:color w:val="7030A0"/>
        </w:rPr>
        <w:t>Relevance</w:t>
      </w:r>
    </w:p>
    <w:p w:rsidR="001A34E2" w:rsidRDefault="001A34E2" w:rsidP="00C075C4">
      <w:pPr>
        <w:spacing w:before="120" w:after="120"/>
        <w:jc w:val="both"/>
        <w:rPr>
          <w:rFonts w:ascii="Arial" w:hAnsi="Arial" w:cs="Arial"/>
        </w:rPr>
      </w:pPr>
      <w:r>
        <w:rPr>
          <w:rFonts w:ascii="Arial" w:hAnsi="Arial" w:cs="Arial"/>
        </w:rPr>
        <w:t>Tables 6.5 and 6.6 report on House Condition Survey data.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1A34E2" w:rsidRDefault="001A34E2" w:rsidP="00C075C4">
      <w:pPr>
        <w:spacing w:before="120" w:after="12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1A34E2" w:rsidRPr="00CE48CE" w:rsidRDefault="001A34E2" w:rsidP="00C075C4">
      <w:pPr>
        <w:spacing w:before="120" w:after="120"/>
        <w:jc w:val="both"/>
        <w:rPr>
          <w:rFonts w:ascii="Arial" w:hAnsi="Arial" w:cs="Arial"/>
          <w:i/>
          <w:color w:val="7030A0"/>
          <w:sz w:val="24"/>
          <w:szCs w:val="24"/>
        </w:rPr>
      </w:pPr>
      <w:r w:rsidRPr="00CE48CE">
        <w:rPr>
          <w:rFonts w:ascii="Arial" w:hAnsi="Arial" w:cs="Arial"/>
          <w:i/>
          <w:color w:val="7030A0"/>
          <w:sz w:val="24"/>
          <w:szCs w:val="24"/>
        </w:rPr>
        <w:t>Accessibility and Clarity</w:t>
      </w:r>
    </w:p>
    <w:p w:rsidR="001A34E2" w:rsidRDefault="001A34E2" w:rsidP="00C075C4">
      <w:pPr>
        <w:spacing w:before="120" w:after="12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1A34E2" w:rsidRDefault="001A34E2" w:rsidP="00C075C4">
      <w:pPr>
        <w:spacing w:before="120" w:after="120"/>
        <w:jc w:val="both"/>
        <w:rPr>
          <w:rFonts w:ascii="Arial" w:hAnsi="Arial" w:cs="Arial"/>
        </w:rPr>
      </w:pPr>
      <w:r>
        <w:rPr>
          <w:rFonts w:ascii="Arial" w:hAnsi="Arial" w:cs="Arial"/>
        </w:rPr>
        <w:t>The main HCS report and Appendix tables for 2016 were published on the Housing Executive’s website on the 31 May 2018.</w:t>
      </w:r>
    </w:p>
    <w:p w:rsidR="001A34E2" w:rsidRDefault="001A34E2" w:rsidP="00C075C4">
      <w:pPr>
        <w:spacing w:before="120" w:after="120"/>
        <w:jc w:val="both"/>
        <w:rPr>
          <w:rFonts w:ascii="Arial" w:hAnsi="Arial" w:cs="Arial"/>
        </w:rPr>
      </w:pPr>
      <w:r>
        <w:rPr>
          <w:rFonts w:ascii="Arial" w:hAnsi="Arial" w:cs="Arial"/>
        </w:rPr>
        <w:t xml:space="preserve">The </w:t>
      </w:r>
      <w:r w:rsidR="00DB3911">
        <w:rPr>
          <w:rFonts w:ascii="Arial" w:hAnsi="Arial" w:cs="Arial"/>
        </w:rPr>
        <w:t>a</w:t>
      </w:r>
      <w:r w:rsidR="00DB3911" w:rsidRPr="00831782">
        <w:rPr>
          <w:rFonts w:ascii="Arial" w:hAnsi="Arial" w:cs="Arial"/>
        </w:rPr>
        <w:t xml:space="preserve">nnual </w:t>
      </w:r>
      <w:r w:rsidR="00DB3911">
        <w:rPr>
          <w:rFonts w:ascii="Arial" w:hAnsi="Arial" w:cs="Arial"/>
        </w:rPr>
        <w:t>Northern Ireland Housing S</w:t>
      </w:r>
      <w:r w:rsidR="00DB3911" w:rsidRPr="00831782">
        <w:rPr>
          <w:rFonts w:ascii="Arial" w:hAnsi="Arial" w:cs="Arial"/>
        </w:rPr>
        <w:t>tatistics</w:t>
      </w:r>
      <w:r w:rsidR="00DB3911">
        <w:rPr>
          <w:rFonts w:ascii="Arial" w:hAnsi="Arial" w:cs="Arial"/>
        </w:rPr>
        <w:t xml:space="preserve"> report</w:t>
      </w:r>
      <w:r>
        <w:rPr>
          <w:rFonts w:ascii="Arial" w:hAnsi="Arial" w:cs="Arial"/>
        </w:rPr>
        <w:t xml:space="preserve">, published by the DfC, includes HCS findings as tables and are </w:t>
      </w:r>
      <w:r w:rsidRPr="00831782">
        <w:rPr>
          <w:rFonts w:ascii="Arial" w:hAnsi="Arial" w:cs="Arial"/>
        </w:rPr>
        <w:t xml:space="preserve">available in pdf, </w:t>
      </w:r>
      <w:r w:rsidR="00DB3911">
        <w:rPr>
          <w:rFonts w:ascii="Arial" w:hAnsi="Arial" w:cs="Arial"/>
        </w:rPr>
        <w:t>open source</w:t>
      </w:r>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1A34E2" w:rsidRPr="00C075C4" w:rsidRDefault="001A34E2" w:rsidP="00C075C4">
      <w:pPr>
        <w:spacing w:before="120" w:after="12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1A34E2" w:rsidRDefault="00F06601" w:rsidP="00C075C4">
      <w:pPr>
        <w:spacing w:before="120" w:after="120"/>
        <w:jc w:val="both"/>
        <w:rPr>
          <w:rFonts w:ascii="Arial" w:hAnsi="Arial" w:cs="Arial"/>
        </w:rPr>
      </w:pPr>
      <w:hyperlink r:id="rId9" w:history="1">
        <w:r w:rsidR="00AD678C">
          <w:rPr>
            <w:rStyle w:val="Hyperlink"/>
            <w:rFonts w:ascii="Arial" w:hAnsi="Arial" w:cs="Arial"/>
          </w:rPr>
          <w:t>House Condition Survey 2016</w:t>
        </w:r>
      </w:hyperlink>
    </w:p>
    <w:p w:rsidR="001A34E2" w:rsidRPr="00C07434" w:rsidRDefault="001A34E2" w:rsidP="00C075C4">
      <w:pPr>
        <w:spacing w:before="120" w:after="120"/>
        <w:jc w:val="both"/>
        <w:rPr>
          <w:rFonts w:ascii="Arial" w:hAnsi="Arial" w:cs="Arial"/>
        </w:rPr>
      </w:pPr>
      <w:r>
        <w:rPr>
          <w:rFonts w:ascii="Arial" w:hAnsi="Arial" w:cs="Arial"/>
        </w:rPr>
        <w:t>The report is available in ‘accessible’ f</w:t>
      </w:r>
      <w:r w:rsidR="00DB3911">
        <w:rPr>
          <w:rFonts w:ascii="Arial" w:hAnsi="Arial" w:cs="Arial"/>
        </w:rPr>
        <w:t>ormat. Tables are available in E</w:t>
      </w:r>
      <w:r>
        <w:rPr>
          <w:rFonts w:ascii="Arial" w:hAnsi="Arial" w:cs="Arial"/>
        </w:rPr>
        <w:t>xcel. Hardcopies are also available by contacting the Housing Executive’s Research Unit.</w:t>
      </w:r>
    </w:p>
    <w:p w:rsidR="001A34E2" w:rsidRPr="00CE48CE" w:rsidRDefault="001A34E2" w:rsidP="00C075C4">
      <w:pPr>
        <w:spacing w:before="120" w:after="120"/>
        <w:jc w:val="both"/>
        <w:rPr>
          <w:rFonts w:ascii="Arial" w:hAnsi="Arial" w:cs="Arial"/>
          <w:i/>
          <w:color w:val="7030A0"/>
          <w:sz w:val="24"/>
          <w:szCs w:val="24"/>
        </w:rPr>
      </w:pPr>
      <w:r w:rsidRPr="00CE48CE">
        <w:rPr>
          <w:rFonts w:ascii="Arial" w:hAnsi="Arial" w:cs="Arial"/>
          <w:i/>
          <w:color w:val="7030A0"/>
          <w:sz w:val="24"/>
          <w:szCs w:val="24"/>
        </w:rPr>
        <w:t>Accuracy</w:t>
      </w:r>
    </w:p>
    <w:p w:rsidR="001A34E2" w:rsidRPr="00831782" w:rsidRDefault="001A34E2" w:rsidP="00C075C4">
      <w:pPr>
        <w:spacing w:before="120" w:after="120"/>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1A34E2" w:rsidRPr="00C075C4" w:rsidRDefault="001A34E2" w:rsidP="00C075C4">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1A34E2" w:rsidRPr="00C075C4" w:rsidRDefault="001A34E2" w:rsidP="00C075C4">
      <w:pPr>
        <w:pStyle w:val="bullet"/>
        <w:tabs>
          <w:tab w:val="clear" w:pos="1080"/>
          <w:tab w:val="num" w:pos="709"/>
        </w:tabs>
        <w:spacing w:before="120" w:after="120" w:line="259" w:lineRule="auto"/>
        <w:ind w:left="709" w:hanging="425"/>
        <w:jc w:val="both"/>
        <w:rPr>
          <w:rFonts w:cs="Arial"/>
          <w:sz w:val="22"/>
        </w:rPr>
      </w:pPr>
      <w:r w:rsidRPr="00831782">
        <w:rPr>
          <w:rFonts w:cs="Arial"/>
          <w:sz w:val="22"/>
        </w:rPr>
        <w:lastRenderedPageBreak/>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1A34E2" w:rsidRPr="00C075C4" w:rsidRDefault="001A34E2" w:rsidP="00C075C4">
      <w:pPr>
        <w:pStyle w:val="bullet"/>
        <w:numPr>
          <w:ilvl w:val="0"/>
          <w:numId w:val="0"/>
        </w:numPr>
        <w:spacing w:before="120" w:after="120" w:line="259"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1A34E2" w:rsidRPr="00A30692" w:rsidRDefault="001A34E2" w:rsidP="00C075C4">
      <w:pPr>
        <w:spacing w:before="120" w:after="12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w:t>
      </w:r>
      <w:r w:rsidR="00C075C4">
        <w:rPr>
          <w:rFonts w:ascii="Arial" w:hAnsi="Arial" w:cs="Arial"/>
        </w:rPr>
        <w:t>lculated to determine whether th</w:t>
      </w:r>
      <w:r w:rsidRPr="00A30692">
        <w:rPr>
          <w:rFonts w:ascii="Arial" w:hAnsi="Arial" w:cs="Arial"/>
        </w:rPr>
        <w:t>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1A34E2" w:rsidRDefault="001A34E2" w:rsidP="00C075C4">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1A34E2" w:rsidRDefault="00F06601" w:rsidP="00C075C4">
      <w:pPr>
        <w:pStyle w:val="Style1"/>
        <w:numPr>
          <w:ilvl w:val="0"/>
          <w:numId w:val="0"/>
        </w:numPr>
        <w:spacing w:before="120" w:after="120" w:line="259" w:lineRule="auto"/>
        <w:jc w:val="both"/>
        <w:rPr>
          <w:rFonts w:ascii="Arial" w:hAnsi="Arial" w:cs="Arial"/>
          <w:sz w:val="22"/>
          <w:szCs w:val="22"/>
        </w:rPr>
      </w:pPr>
      <w:hyperlink r:id="rId10" w:history="1">
        <w:r w:rsidR="00AD678C">
          <w:rPr>
            <w:rStyle w:val="Hyperlink"/>
            <w:rFonts w:ascii="Arial" w:eastAsiaTheme="majorEastAsia" w:hAnsi="Arial" w:cs="Arial"/>
            <w:sz w:val="22"/>
            <w:szCs w:val="22"/>
          </w:rPr>
          <w:t>House Condition Survey 2016 Quality Information</w:t>
        </w:r>
      </w:hyperlink>
    </w:p>
    <w:p w:rsidR="001A34E2" w:rsidRDefault="00F06601" w:rsidP="00C075C4">
      <w:pPr>
        <w:pStyle w:val="Style1"/>
        <w:numPr>
          <w:ilvl w:val="0"/>
          <w:numId w:val="0"/>
        </w:numPr>
        <w:spacing w:before="120" w:after="120" w:line="259" w:lineRule="auto"/>
        <w:jc w:val="both"/>
        <w:rPr>
          <w:rFonts w:ascii="Arial" w:hAnsi="Arial" w:cs="Arial"/>
          <w:sz w:val="22"/>
          <w:szCs w:val="22"/>
        </w:rPr>
      </w:pPr>
      <w:hyperlink r:id="rId11" w:history="1">
        <w:r w:rsidR="00AD678C">
          <w:rPr>
            <w:rStyle w:val="Hyperlink"/>
            <w:rFonts w:ascii="Arial" w:eastAsiaTheme="majorEastAsia" w:hAnsi="Arial" w:cs="Arial"/>
            <w:sz w:val="22"/>
            <w:szCs w:val="22"/>
          </w:rPr>
          <w:t>House Condition Survey 2016 Main Report</w:t>
        </w:r>
      </w:hyperlink>
    </w:p>
    <w:p w:rsidR="001A34E2" w:rsidRPr="00CE48CE" w:rsidRDefault="001A34E2" w:rsidP="00C075C4">
      <w:pPr>
        <w:pStyle w:val="Style1"/>
        <w:numPr>
          <w:ilvl w:val="0"/>
          <w:numId w:val="0"/>
        </w:numPr>
        <w:spacing w:before="120" w:after="120" w:line="259" w:lineRule="auto"/>
        <w:jc w:val="both"/>
        <w:rPr>
          <w:rFonts w:ascii="Arial" w:hAnsi="Arial" w:cs="Arial"/>
          <w:color w:val="7030A0"/>
          <w:sz w:val="22"/>
          <w:szCs w:val="22"/>
        </w:rPr>
      </w:pPr>
      <w:r w:rsidRPr="00CE48CE">
        <w:rPr>
          <w:rFonts w:ascii="Arial" w:hAnsi="Arial" w:cs="Arial"/>
          <w:i/>
          <w:color w:val="7030A0"/>
        </w:rPr>
        <w:t>Timeliness</w:t>
      </w:r>
    </w:p>
    <w:p w:rsidR="001A34E2" w:rsidRPr="00F06074" w:rsidRDefault="001A34E2" w:rsidP="00C075C4">
      <w:pPr>
        <w:spacing w:before="120" w:after="120"/>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1A34E2" w:rsidRPr="00831782" w:rsidRDefault="001A34E2" w:rsidP="00C075C4">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1A34E2" w:rsidRDefault="001A34E2" w:rsidP="00C075C4">
      <w:pPr>
        <w:pStyle w:val="NormalWeb"/>
        <w:spacing w:before="120" w:beforeAutospacing="0" w:after="120" w:afterAutospacing="0" w:line="259" w:lineRule="auto"/>
        <w:jc w:val="both"/>
        <w:rPr>
          <w:rFonts w:ascii="Arial" w:hAnsi="Arial" w:cs="Arial"/>
          <w:bCs/>
          <w:i/>
          <w:color w:val="7030A0"/>
        </w:rPr>
      </w:pPr>
      <w:r>
        <w:rPr>
          <w:rFonts w:ascii="Arial" w:hAnsi="Arial" w:cs="Arial"/>
          <w:bCs/>
          <w:i/>
          <w:color w:val="7030A0"/>
        </w:rPr>
        <w:t>Coherence and Comparability</w:t>
      </w:r>
    </w:p>
    <w:p w:rsidR="001A34E2" w:rsidRPr="00321A55" w:rsidRDefault="001A34E2" w:rsidP="00C075C4">
      <w:pPr>
        <w:spacing w:before="120" w:after="120"/>
        <w:jc w:val="both"/>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1A34E2" w:rsidRPr="003D4649" w:rsidRDefault="001A34E2" w:rsidP="00C075C4">
      <w:pPr>
        <w:spacing w:before="120" w:after="120"/>
        <w:jc w:val="both"/>
        <w:rPr>
          <w:rFonts w:ascii="Arial" w:hAnsi="Arial" w:cs="Arial"/>
        </w:rPr>
      </w:pPr>
      <w:r w:rsidRPr="00321A55">
        <w:rPr>
          <w:rFonts w:ascii="Arial" w:hAnsi="Arial" w:cs="Arial"/>
        </w:rPr>
        <w:t>The NIHCS surveyors receive the same training as the English surveyors, this reduces surveyor variability.</w:t>
      </w:r>
    </w:p>
    <w:p w:rsidR="001A34E2" w:rsidRPr="003D4649" w:rsidRDefault="001A34E2" w:rsidP="00C075C4">
      <w:pPr>
        <w:spacing w:before="120" w:after="120"/>
        <w:jc w:val="both"/>
        <w:rPr>
          <w:rFonts w:ascii="Arial" w:hAnsi="Arial" w:cs="Arial"/>
        </w:rPr>
      </w:pPr>
      <w:r w:rsidRPr="003D4649">
        <w:rPr>
          <w:rFonts w:ascii="Arial" w:hAnsi="Arial" w:cs="Arial"/>
        </w:rPr>
        <w:t xml:space="preserve">Many aspects of the form remain the same over time to allow longitudinal analysis. </w:t>
      </w:r>
    </w:p>
    <w:p w:rsidR="001A34E2" w:rsidRPr="003D4649" w:rsidRDefault="001A34E2" w:rsidP="00C075C4">
      <w:pPr>
        <w:spacing w:before="120" w:after="120"/>
        <w:jc w:val="both"/>
        <w:rPr>
          <w:rFonts w:ascii="Arial" w:hAnsi="Arial" w:cs="Arial"/>
        </w:rPr>
      </w:pPr>
      <w:r w:rsidRPr="003D4649">
        <w:rPr>
          <w:rFonts w:ascii="Arial" w:hAnsi="Arial" w:cs="Arial"/>
        </w:rPr>
        <w:t>The number of household types has been reduced because of smaller samples over time. However, previous years have been recoded so longitudinal analysis is still possible.</w:t>
      </w:r>
    </w:p>
    <w:p w:rsidR="001A34E2" w:rsidRDefault="001A34E2"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Household types were classified into three groups as follows:</w:t>
      </w:r>
    </w:p>
    <w:p w:rsidR="001A34E2" w:rsidRDefault="001A34E2" w:rsidP="00C075C4">
      <w:pPr>
        <w:numPr>
          <w:ilvl w:val="0"/>
          <w:numId w:val="10"/>
        </w:numPr>
        <w:spacing w:before="120" w:after="120"/>
        <w:jc w:val="both"/>
        <w:rPr>
          <w:rFonts w:ascii="Arial" w:hAnsi="Arial" w:cs="Arial"/>
          <w:b/>
          <w:bCs/>
        </w:rPr>
      </w:pPr>
      <w:r>
        <w:rPr>
          <w:rFonts w:ascii="Arial" w:hAnsi="Arial" w:cs="Arial"/>
          <w:b/>
          <w:bCs/>
        </w:rPr>
        <w:t xml:space="preserve">Adult Households </w:t>
      </w:r>
      <w:r w:rsidRPr="00220E34">
        <w:rPr>
          <w:rFonts w:ascii="Arial" w:hAnsi="Arial" w:cs="Arial"/>
          <w:bCs/>
        </w:rPr>
        <w:t>– which con</w:t>
      </w:r>
      <w:r>
        <w:rPr>
          <w:rFonts w:ascii="Arial" w:hAnsi="Arial" w:cs="Arial"/>
          <w:bCs/>
        </w:rPr>
        <w:t>sists of the following categories:</w:t>
      </w:r>
    </w:p>
    <w:p w:rsidR="001A34E2" w:rsidRDefault="001A34E2" w:rsidP="00C075C4">
      <w:pPr>
        <w:pStyle w:val="Subtitle"/>
      </w:pPr>
      <w:r>
        <w:lastRenderedPageBreak/>
        <w:t>Lone Adult</w:t>
      </w:r>
    </w:p>
    <w:p w:rsidR="001A34E2" w:rsidRDefault="001A34E2" w:rsidP="00C075C4">
      <w:pPr>
        <w:spacing w:before="120" w:after="120"/>
        <w:ind w:left="993"/>
        <w:jc w:val="both"/>
        <w:rPr>
          <w:rFonts w:ascii="Arial" w:hAnsi="Arial" w:cs="Arial"/>
        </w:rPr>
      </w:pPr>
      <w:r>
        <w:rPr>
          <w:rFonts w:ascii="Arial" w:hAnsi="Arial" w:cs="Arial"/>
        </w:rPr>
        <w:t>One adult below pensionable age (65).</w:t>
      </w:r>
    </w:p>
    <w:p w:rsidR="001A34E2" w:rsidRDefault="001A34E2" w:rsidP="00C075C4">
      <w:pPr>
        <w:pStyle w:val="Subtitle"/>
      </w:pPr>
      <w:r>
        <w:t>Two Adults</w:t>
      </w:r>
    </w:p>
    <w:p w:rsidR="001A34E2" w:rsidRDefault="001A34E2" w:rsidP="00C075C4">
      <w:pPr>
        <w:spacing w:before="120" w:after="120"/>
        <w:ind w:left="993"/>
        <w:jc w:val="both"/>
        <w:rPr>
          <w:rFonts w:ascii="Arial" w:hAnsi="Arial" w:cs="Arial"/>
        </w:rPr>
      </w:pPr>
      <w:r>
        <w:rPr>
          <w:rFonts w:ascii="Arial" w:hAnsi="Arial" w:cs="Arial"/>
        </w:rPr>
        <w:t>Two people, related or unrelated, below pensionable age (65).</w:t>
      </w:r>
    </w:p>
    <w:p w:rsidR="001A34E2" w:rsidRDefault="001A34E2" w:rsidP="00C075C4">
      <w:pPr>
        <w:pStyle w:val="Subtitle"/>
      </w:pPr>
      <w:r>
        <w:t>Large Adult</w:t>
      </w:r>
    </w:p>
    <w:p w:rsidR="001A34E2" w:rsidRDefault="001A34E2" w:rsidP="00C075C4">
      <w:pPr>
        <w:spacing w:before="120" w:after="120"/>
        <w:ind w:left="993"/>
        <w:jc w:val="both"/>
        <w:rPr>
          <w:rFonts w:ascii="Arial" w:hAnsi="Arial" w:cs="Arial"/>
        </w:rPr>
      </w:pPr>
      <w:r>
        <w:rPr>
          <w:rFonts w:ascii="Arial" w:hAnsi="Arial" w:cs="Arial"/>
        </w:rPr>
        <w:t>Three or more adults, related or unrelated, and no dependent children aged under 16.</w:t>
      </w:r>
    </w:p>
    <w:p w:rsidR="001A34E2" w:rsidRPr="00220E34" w:rsidRDefault="001A34E2" w:rsidP="00C075C4">
      <w:pPr>
        <w:pStyle w:val="ListParagraph"/>
        <w:numPr>
          <w:ilvl w:val="0"/>
          <w:numId w:val="14"/>
        </w:numPr>
        <w:spacing w:before="120" w:after="120" w:line="259" w:lineRule="auto"/>
        <w:ind w:left="709"/>
        <w:contextualSpacing w:val="0"/>
        <w:rPr>
          <w:rFonts w:ascii="Arial" w:hAnsi="Arial" w:cs="Arial"/>
          <w:b/>
        </w:rPr>
      </w:pPr>
      <w:r w:rsidRPr="00220E34">
        <w:rPr>
          <w:rFonts w:ascii="Arial" w:hAnsi="Arial" w:cs="Arial"/>
          <w:b/>
        </w:rPr>
        <w:t>H</w:t>
      </w:r>
      <w:r>
        <w:rPr>
          <w:rFonts w:ascii="Arial" w:hAnsi="Arial" w:cs="Arial"/>
          <w:b/>
        </w:rPr>
        <w:t>ouseholds with children</w:t>
      </w:r>
      <w:r w:rsidRPr="00220E34">
        <w:rPr>
          <w:rFonts w:ascii="Arial" w:hAnsi="Arial" w:cs="Arial"/>
          <w:b/>
        </w:rPr>
        <w:t xml:space="preserve"> </w:t>
      </w:r>
      <w:r w:rsidRPr="00220E34">
        <w:rPr>
          <w:rFonts w:ascii="Arial" w:hAnsi="Arial" w:cs="Arial"/>
        </w:rPr>
        <w:t>- which consists of the following categories:</w:t>
      </w:r>
    </w:p>
    <w:p w:rsidR="001A34E2" w:rsidRDefault="001A34E2" w:rsidP="00C075C4">
      <w:pPr>
        <w:pStyle w:val="Subtitle"/>
      </w:pPr>
      <w:r>
        <w:t>Lone Parent</w:t>
      </w:r>
    </w:p>
    <w:p w:rsidR="001A34E2" w:rsidRDefault="001A34E2" w:rsidP="00C075C4">
      <w:pPr>
        <w:tabs>
          <w:tab w:val="left" w:pos="851"/>
        </w:tabs>
        <w:spacing w:before="120" w:after="120"/>
        <w:ind w:left="993"/>
        <w:jc w:val="both"/>
        <w:rPr>
          <w:rFonts w:ascii="Arial" w:hAnsi="Arial" w:cs="Arial"/>
        </w:rPr>
      </w:pPr>
      <w:r>
        <w:rPr>
          <w:rFonts w:ascii="Arial" w:hAnsi="Arial" w:cs="Arial"/>
        </w:rPr>
        <w:t>One adult living with one or more dependent children aged under 16.</w:t>
      </w:r>
    </w:p>
    <w:p w:rsidR="001A34E2" w:rsidRDefault="001A34E2" w:rsidP="00C075C4">
      <w:pPr>
        <w:pStyle w:val="Subtitle"/>
      </w:pPr>
      <w:r>
        <w:t>Small Family</w:t>
      </w:r>
    </w:p>
    <w:p w:rsidR="001A34E2" w:rsidRDefault="001A34E2" w:rsidP="00C075C4">
      <w:pPr>
        <w:tabs>
          <w:tab w:val="left" w:pos="851"/>
        </w:tabs>
        <w:spacing w:before="120" w:after="120"/>
        <w:ind w:left="993"/>
        <w:jc w:val="both"/>
        <w:rPr>
          <w:rFonts w:ascii="Arial" w:hAnsi="Arial" w:cs="Arial"/>
        </w:rPr>
      </w:pPr>
      <w:r>
        <w:rPr>
          <w:rFonts w:ascii="Arial" w:hAnsi="Arial" w:cs="Arial"/>
        </w:rPr>
        <w:t>Two adults, related or unrelated, living with one or two dependent children aged under 16.</w:t>
      </w:r>
    </w:p>
    <w:p w:rsidR="001A34E2" w:rsidRDefault="001A34E2" w:rsidP="00C075C4">
      <w:pPr>
        <w:pStyle w:val="Subtitle"/>
      </w:pPr>
      <w:r>
        <w:t>Large Family</w:t>
      </w:r>
    </w:p>
    <w:p w:rsidR="001A34E2" w:rsidRDefault="001A34E2" w:rsidP="00C075C4">
      <w:pPr>
        <w:tabs>
          <w:tab w:val="left" w:pos="851"/>
        </w:tabs>
        <w:spacing w:before="120" w:after="120"/>
        <w:ind w:left="993"/>
        <w:jc w:val="both"/>
        <w:rPr>
          <w:rFonts w:ascii="Arial" w:hAnsi="Arial" w:cs="Arial"/>
        </w:rPr>
      </w:pPr>
      <w:r>
        <w:rPr>
          <w:rFonts w:ascii="Arial" w:hAnsi="Arial" w:cs="Arial"/>
        </w:rPr>
        <w:t>Two adults, related or unrelated, living with three or more dependent children aged under 16; OR three or more adults living with one or more dependent children aged under 16.</w:t>
      </w:r>
    </w:p>
    <w:p w:rsidR="001A34E2" w:rsidRPr="00220E34" w:rsidRDefault="001A34E2" w:rsidP="00C075C4">
      <w:pPr>
        <w:pStyle w:val="ListParagraph"/>
        <w:numPr>
          <w:ilvl w:val="0"/>
          <w:numId w:val="15"/>
        </w:numPr>
        <w:spacing w:before="120" w:after="120" w:line="259" w:lineRule="auto"/>
        <w:ind w:left="993" w:hanging="284"/>
        <w:contextualSpacing w:val="0"/>
        <w:rPr>
          <w:rFonts w:ascii="Arial" w:hAnsi="Arial" w:cs="Arial"/>
        </w:rPr>
      </w:pPr>
      <w:r w:rsidRPr="00220E34">
        <w:rPr>
          <w:rFonts w:ascii="Arial" w:hAnsi="Arial" w:cs="Arial"/>
          <w:b/>
        </w:rPr>
        <w:t>Older Households</w:t>
      </w:r>
      <w:r w:rsidRPr="00220E34">
        <w:rPr>
          <w:rFonts w:ascii="Arial" w:hAnsi="Arial" w:cs="Arial"/>
        </w:rPr>
        <w:t xml:space="preserve"> - which consists of the following categories:</w:t>
      </w:r>
    </w:p>
    <w:p w:rsidR="001A34E2" w:rsidRDefault="001A34E2" w:rsidP="00C075C4">
      <w:pPr>
        <w:pStyle w:val="Subtitle"/>
      </w:pPr>
      <w:r>
        <w:t xml:space="preserve">Two Person Older </w:t>
      </w:r>
    </w:p>
    <w:p w:rsidR="001A34E2" w:rsidRDefault="001A34E2" w:rsidP="00C075C4">
      <w:pPr>
        <w:spacing w:before="120" w:after="120"/>
        <w:ind w:left="993"/>
        <w:jc w:val="both"/>
        <w:rPr>
          <w:rFonts w:ascii="Arial" w:hAnsi="Arial" w:cs="Arial"/>
        </w:rPr>
      </w:pPr>
      <w:r>
        <w:rPr>
          <w:rFonts w:ascii="Arial" w:hAnsi="Arial" w:cs="Arial"/>
        </w:rPr>
        <w:t>Two people, related or unrelated, at least one of whom is of pensionable age (65 plus).</w:t>
      </w:r>
    </w:p>
    <w:p w:rsidR="001A34E2" w:rsidRPr="00C075C4" w:rsidRDefault="001A34E2" w:rsidP="00C075C4">
      <w:pPr>
        <w:pStyle w:val="Subtitle"/>
      </w:pPr>
      <w:r w:rsidRPr="00C075C4">
        <w:t>Lone Older</w:t>
      </w:r>
    </w:p>
    <w:p w:rsidR="001A34E2" w:rsidRPr="00C075C4" w:rsidRDefault="001A34E2" w:rsidP="00C075C4">
      <w:pPr>
        <w:spacing w:before="120" w:after="120"/>
        <w:ind w:left="993"/>
        <w:jc w:val="both"/>
        <w:rPr>
          <w:rFonts w:ascii="Arial" w:hAnsi="Arial" w:cs="Arial"/>
        </w:rPr>
      </w:pPr>
      <w:r>
        <w:rPr>
          <w:rFonts w:ascii="Arial" w:hAnsi="Arial" w:cs="Arial"/>
        </w:rPr>
        <w:t>One person of pensionable age or older (65).</w:t>
      </w:r>
    </w:p>
    <w:p w:rsidR="005733CB" w:rsidRPr="00C075C4" w:rsidRDefault="001A34E2" w:rsidP="00C075C4">
      <w:pPr>
        <w:spacing w:before="120" w:after="120"/>
        <w:jc w:val="both"/>
        <w:rPr>
          <w:rFonts w:ascii="Arial" w:hAnsi="Arial" w:cs="Arial"/>
        </w:rPr>
      </w:pPr>
      <w:r w:rsidRPr="00B35ABA">
        <w:rPr>
          <w:rFonts w:ascii="Arial" w:hAnsi="Arial" w:cs="Arial"/>
        </w:rPr>
        <w:t xml:space="preserve">It should be noted that in </w:t>
      </w:r>
      <w:r>
        <w:rPr>
          <w:rFonts w:ascii="Arial" w:hAnsi="Arial" w:cs="Arial"/>
        </w:rPr>
        <w:t xml:space="preserve">the </w:t>
      </w:r>
      <w:r w:rsidRPr="00B35ABA">
        <w:rPr>
          <w:rFonts w:ascii="Arial" w:hAnsi="Arial" w:cs="Arial"/>
        </w:rPr>
        <w:t>2016 H</w:t>
      </w:r>
      <w:r>
        <w:rPr>
          <w:rFonts w:ascii="Arial" w:hAnsi="Arial" w:cs="Arial"/>
        </w:rPr>
        <w:t xml:space="preserve">ouse </w:t>
      </w:r>
      <w:r w:rsidRPr="00B35ABA">
        <w:rPr>
          <w:rFonts w:ascii="Arial" w:hAnsi="Arial" w:cs="Arial"/>
        </w:rPr>
        <w:t>C</w:t>
      </w:r>
      <w:r>
        <w:rPr>
          <w:rFonts w:ascii="Arial" w:hAnsi="Arial" w:cs="Arial"/>
        </w:rPr>
        <w:t xml:space="preserve">ondition </w:t>
      </w:r>
      <w:r w:rsidRPr="00B35ABA">
        <w:rPr>
          <w:rFonts w:ascii="Arial" w:hAnsi="Arial" w:cs="Arial"/>
        </w:rPr>
        <w:t>S</w:t>
      </w:r>
      <w:r>
        <w:rPr>
          <w:rFonts w:ascii="Arial" w:hAnsi="Arial" w:cs="Arial"/>
        </w:rPr>
        <w:t>urvey</w:t>
      </w:r>
      <w:r w:rsidRPr="00B35ABA">
        <w:rPr>
          <w:rFonts w:ascii="Arial" w:hAnsi="Arial" w:cs="Arial"/>
        </w:rPr>
        <w:t xml:space="preserve"> the pension age for females changed to 65. This mainly affected the small group of females (aged 60 to 64) who are n</w:t>
      </w:r>
      <w:r>
        <w:rPr>
          <w:rFonts w:ascii="Arial" w:hAnsi="Arial" w:cs="Arial"/>
        </w:rPr>
        <w:t>ow below pension age. T</w:t>
      </w:r>
      <w:r w:rsidRPr="00B35ABA">
        <w:rPr>
          <w:rFonts w:ascii="Arial" w:hAnsi="Arial" w:cs="Arial"/>
        </w:rPr>
        <w:t>his should be taken into consideration when comparing with previous results.</w:t>
      </w:r>
    </w:p>
    <w:bookmarkEnd w:id="2"/>
    <w:bookmarkEnd w:id="3"/>
    <w:p w:rsidR="00CA279E" w:rsidRPr="00C075C4" w:rsidRDefault="00FC6275" w:rsidP="00C075C4">
      <w:pPr>
        <w:pStyle w:val="Heading7"/>
      </w:pPr>
      <w:r w:rsidRPr="00C075C4">
        <w:t>Table 6.7</w:t>
      </w:r>
      <w:r w:rsidR="00CA279E" w:rsidRPr="00C075C4">
        <w:t>: Average gross weekly household income and expenditure by UK region, financial year ending 201</w:t>
      </w:r>
      <w:r w:rsidR="00AC0A80">
        <w:t>7</w:t>
      </w:r>
      <w:r w:rsidR="00F66F89" w:rsidRPr="00C075C4">
        <w:t xml:space="preserve"> to fina</w:t>
      </w:r>
      <w:r w:rsidR="00AC0A80">
        <w:t>ncial year ending 2019</w:t>
      </w:r>
    </w:p>
    <w:p w:rsidR="00CA279E" w:rsidRPr="00C075C4" w:rsidRDefault="00FC6275" w:rsidP="00C075C4">
      <w:pPr>
        <w:pStyle w:val="Heading8"/>
      </w:pPr>
      <w:r w:rsidRPr="00C075C4">
        <w:t>Table 6.8</w:t>
      </w:r>
      <w:r w:rsidR="00CA279E" w:rsidRPr="00C075C4">
        <w:t>: Average weekly household expenditure by commodity or service, Northern Ireland an</w:t>
      </w:r>
      <w:r w:rsidR="00AC0A80">
        <w:t>d UK, financial year ending 2017 to financial year ending 2019</w:t>
      </w:r>
    </w:p>
    <w:p w:rsidR="00CA279E" w:rsidRDefault="00FC6275"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b/>
          <w:sz w:val="22"/>
          <w:szCs w:val="22"/>
        </w:rPr>
        <w:t>Tables 6.7 and 6.8</w:t>
      </w:r>
      <w:r w:rsidR="00CA279E">
        <w:rPr>
          <w:rFonts w:ascii="Arial" w:hAnsi="Arial" w:cs="Arial"/>
          <w:sz w:val="22"/>
          <w:szCs w:val="22"/>
        </w:rPr>
        <w:t xml:space="preserve"> provide information from the Living Costs and Food Survey.</w:t>
      </w:r>
    </w:p>
    <w:p w:rsidR="00CA279E" w:rsidRDefault="00CA279E" w:rsidP="00C075C4">
      <w:pPr>
        <w:autoSpaceDE w:val="0"/>
        <w:autoSpaceDN w:val="0"/>
        <w:adjustRightInd w:val="0"/>
        <w:spacing w:before="120" w:after="120"/>
        <w:jc w:val="both"/>
        <w:rPr>
          <w:rFonts w:ascii="Arial" w:hAnsi="Arial" w:cs="Arial"/>
          <w:color w:val="000000"/>
          <w:lang w:eastAsia="en-GB"/>
        </w:rPr>
      </w:pPr>
      <w:r>
        <w:rPr>
          <w:rFonts w:ascii="Arial" w:hAnsi="Arial" w:cs="Arial"/>
          <w:bCs/>
          <w:lang w:val="en"/>
        </w:rPr>
        <w:t xml:space="preserve">From 2001-02, the Classification Of Individual Consumption by Purpose (COICOP) was introduced in the Living Costs and Food Survey as a new coding frame for expenditure items. COICOP is the internationally agreed classification system for reporting household consumption expenditure. </w:t>
      </w:r>
      <w:r>
        <w:rPr>
          <w:rFonts w:ascii="Arial" w:hAnsi="Arial" w:cs="Arial"/>
          <w:color w:val="000000"/>
          <w:lang w:eastAsia="en-GB"/>
        </w:rPr>
        <w:t xml:space="preserve">Further information on COICOP can be found on the </w:t>
      </w:r>
      <w:hyperlink r:id="rId12" w:history="1">
        <w:r>
          <w:rPr>
            <w:rStyle w:val="Hyperlink"/>
            <w:rFonts w:ascii="Arial" w:hAnsi="Arial" w:cs="Arial"/>
            <w:lang w:eastAsia="en-GB"/>
          </w:rPr>
          <w:t xml:space="preserve">United Nations </w:t>
        </w:r>
        <w:r>
          <w:rPr>
            <w:rStyle w:val="Hyperlink"/>
            <w:rFonts w:ascii="Arial" w:hAnsi="Arial" w:cs="Arial"/>
            <w:lang w:eastAsia="en-GB"/>
          </w:rPr>
          <w:lastRenderedPageBreak/>
          <w:t>Statistics Division</w:t>
        </w:r>
      </w:hyperlink>
      <w:r>
        <w:rPr>
          <w:rFonts w:ascii="Arial" w:hAnsi="Arial" w:cs="Arial"/>
          <w:color w:val="000000"/>
          <w:lang w:eastAsia="en-GB"/>
        </w:rPr>
        <w:t xml:space="preserve"> website. Under COICOP, household consumption expenditure is categorised into the following 12 headings: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color w:val="000000"/>
          <w:lang w:eastAsia="en-GB"/>
        </w:rPr>
        <w:t xml:space="preserve">1. </w:t>
      </w:r>
      <w:r>
        <w:rPr>
          <w:rFonts w:ascii="Arial" w:hAnsi="Arial" w:cs="Arial"/>
          <w:lang w:eastAsia="en-GB"/>
        </w:rPr>
        <w:t>Food and non-alcoholic drinks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2. Alcoholic drinks, tobacco and narcotics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3. Clothing and footwear</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4. Housing (net), fuel and power</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5. Household goods and services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6. Health</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7. Transport</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8. Communication</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9. Recreation and culture</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10. Education</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11. Restaurants and hotels</w:t>
      </w:r>
    </w:p>
    <w:p w:rsidR="00CA279E" w:rsidRDefault="00CA279E" w:rsidP="00C075C4">
      <w:pPr>
        <w:autoSpaceDE w:val="0"/>
        <w:autoSpaceDN w:val="0"/>
        <w:adjustRightInd w:val="0"/>
        <w:spacing w:before="120" w:after="120"/>
        <w:jc w:val="both"/>
        <w:rPr>
          <w:rFonts w:ascii="Arial" w:hAnsi="Arial" w:cs="Arial"/>
          <w:bCs/>
          <w:lang w:val="en"/>
        </w:rPr>
      </w:pPr>
      <w:r>
        <w:rPr>
          <w:rFonts w:ascii="Arial" w:hAnsi="Arial" w:cs="Arial"/>
          <w:lang w:eastAsia="en-GB"/>
        </w:rPr>
        <w:t>12. Miscellaneous goods and services</w:t>
      </w:r>
    </w:p>
    <w:p w:rsidR="00CA279E" w:rsidRDefault="00CA279E" w:rsidP="00C075C4">
      <w:pPr>
        <w:autoSpaceDE w:val="0"/>
        <w:autoSpaceDN w:val="0"/>
        <w:adjustRightInd w:val="0"/>
        <w:spacing w:before="120" w:after="120"/>
        <w:jc w:val="both"/>
        <w:rPr>
          <w:rFonts w:ascii="Arial" w:hAnsi="Arial" w:cs="Arial"/>
          <w:bCs/>
          <w:lang w:val="en"/>
        </w:rPr>
      </w:pPr>
      <w:r>
        <w:rPr>
          <w:rFonts w:ascii="Arial" w:hAnsi="Arial" w:cs="Arial"/>
          <w:lang w:eastAsia="en-GB"/>
        </w:rPr>
        <w:t xml:space="preserve">It is important to note that COICOP classified housing costs do not include what is considered to be non-consumption expenditure, for example, mortgage interest payments, mortgage capital repayments, mortgage protection premiums, council tax and domestic rates. </w:t>
      </w:r>
      <w:r>
        <w:rPr>
          <w:rFonts w:ascii="Arial" w:hAnsi="Arial" w:cs="Arial"/>
          <w:bCs/>
          <w:lang w:val="en"/>
        </w:rPr>
        <w:t>Total expenditure is made up from the total of the COICOP expenditure groups (1 to 12) plus ‘Other expenditure items’. Further information on the items included in each category can be found at the following link</w:t>
      </w:r>
      <w:r w:rsidR="00F66F89">
        <w:rPr>
          <w:rFonts w:ascii="Arial" w:hAnsi="Arial" w:cs="Arial"/>
          <w:bCs/>
          <w:lang w:val="en"/>
        </w:rPr>
        <w:t>:</w:t>
      </w:r>
      <w:r>
        <w:rPr>
          <w:rFonts w:ascii="Arial" w:hAnsi="Arial" w:cs="Arial"/>
          <w:bCs/>
          <w:lang w:val="en"/>
        </w:rPr>
        <w:t xml:space="preserve"> </w:t>
      </w:r>
    </w:p>
    <w:p w:rsidR="00CA279E" w:rsidRPr="00C075C4" w:rsidRDefault="00F06601" w:rsidP="00C075C4">
      <w:pPr>
        <w:pStyle w:val="Style1"/>
        <w:numPr>
          <w:ilvl w:val="0"/>
          <w:numId w:val="0"/>
        </w:numPr>
        <w:tabs>
          <w:tab w:val="left" w:pos="720"/>
        </w:tabs>
        <w:spacing w:before="120" w:after="120" w:line="259" w:lineRule="auto"/>
        <w:jc w:val="both"/>
        <w:rPr>
          <w:rFonts w:ascii="Arial" w:hAnsi="Arial" w:cs="Arial"/>
          <w:color w:val="FF0000"/>
          <w:sz w:val="22"/>
          <w:szCs w:val="22"/>
        </w:rPr>
      </w:pPr>
      <w:hyperlink r:id="rId13" w:history="1">
        <w:r w:rsidR="00AD678C">
          <w:rPr>
            <w:rStyle w:val="Hyperlink"/>
            <w:rFonts w:ascii="Arial" w:eastAsiaTheme="majorEastAsia" w:hAnsi="Arial" w:cs="Arial"/>
            <w:sz w:val="22"/>
            <w:szCs w:val="22"/>
          </w:rPr>
          <w:t>Living Costs and Food Survey Methodology</w:t>
        </w:r>
      </w:hyperlink>
    </w:p>
    <w:p w:rsidR="00060893" w:rsidRDefault="00CA279E"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Please note that the Living Costs and Food Survey changed from a calendar year to a financial year basis in 2016. The release of this data on the ONS website changed from a </w:t>
      </w:r>
      <w:r w:rsidR="00F66F89">
        <w:rPr>
          <w:rFonts w:ascii="Arial" w:hAnsi="Arial" w:cs="Arial"/>
          <w:sz w:val="22"/>
          <w:szCs w:val="22"/>
        </w:rPr>
        <w:t>compendium to a bulletin format</w:t>
      </w:r>
      <w:r>
        <w:rPr>
          <w:rFonts w:ascii="Arial" w:hAnsi="Arial" w:cs="Arial"/>
          <w:sz w:val="22"/>
          <w:szCs w:val="22"/>
        </w:rPr>
        <w:t>, although individual tables are still available.</w:t>
      </w:r>
    </w:p>
    <w:p w:rsidR="00060893" w:rsidRDefault="00060893"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Further information on the survey methodology can be found in the Family Spending, 201</w:t>
      </w:r>
      <w:r w:rsidR="00AC0A80">
        <w:rPr>
          <w:rFonts w:ascii="Arial" w:hAnsi="Arial" w:cs="Arial"/>
          <w:sz w:val="22"/>
          <w:szCs w:val="22"/>
        </w:rPr>
        <w:t>9</w:t>
      </w:r>
      <w:r>
        <w:rPr>
          <w:rFonts w:ascii="Arial" w:hAnsi="Arial" w:cs="Arial"/>
          <w:sz w:val="22"/>
          <w:szCs w:val="22"/>
        </w:rPr>
        <w:t xml:space="preserve"> edition:</w:t>
      </w:r>
    </w:p>
    <w:p w:rsidR="00CA279E" w:rsidRDefault="00F06601" w:rsidP="00C075C4">
      <w:pPr>
        <w:pStyle w:val="Style1"/>
        <w:numPr>
          <w:ilvl w:val="0"/>
          <w:numId w:val="0"/>
        </w:numPr>
        <w:tabs>
          <w:tab w:val="left" w:pos="720"/>
        </w:tabs>
        <w:spacing w:before="120" w:after="120" w:line="259" w:lineRule="auto"/>
        <w:jc w:val="both"/>
        <w:rPr>
          <w:rFonts w:ascii="Arial" w:hAnsi="Arial" w:cs="Arial"/>
          <w:color w:val="FF0000"/>
          <w:sz w:val="22"/>
          <w:szCs w:val="22"/>
        </w:rPr>
      </w:pPr>
      <w:hyperlink r:id="rId14" w:history="1">
        <w:r w:rsidR="00AD678C">
          <w:rPr>
            <w:rStyle w:val="Hyperlink"/>
            <w:rFonts w:ascii="Arial" w:hAnsi="Arial" w:cs="Arial"/>
            <w:sz w:val="22"/>
            <w:szCs w:val="22"/>
          </w:rPr>
          <w:t>Family Spending Methodology</w:t>
        </w:r>
      </w:hyperlink>
    </w:p>
    <w:p w:rsidR="00F66F89" w:rsidRPr="00C075C4" w:rsidRDefault="00BF23E8" w:rsidP="00C075C4">
      <w:pPr>
        <w:spacing w:before="120" w:after="120"/>
        <w:jc w:val="both"/>
        <w:rPr>
          <w:rFonts w:ascii="Arial" w:hAnsi="Arial" w:cs="Arial"/>
        </w:rPr>
      </w:pPr>
      <w:r w:rsidRPr="00BF23E8">
        <w:rPr>
          <w:rFonts w:ascii="Arial" w:hAnsi="Arial" w:cs="Arial"/>
        </w:rPr>
        <w:t xml:space="preserve">Figures for </w:t>
      </w:r>
      <w:r w:rsidR="00965437">
        <w:rPr>
          <w:rFonts w:ascii="Arial" w:hAnsi="Arial" w:cs="Arial"/>
        </w:rPr>
        <w:t xml:space="preserve">Table 6.7 </w:t>
      </w:r>
      <w:r w:rsidRPr="00BF23E8">
        <w:rPr>
          <w:rFonts w:ascii="Arial" w:hAnsi="Arial" w:cs="Arial"/>
        </w:rPr>
        <w:t>‘average gross weekly household income’ for financial year ending March 2016 to financial year ending March 2018 are not directly comparable to data published within the Northern Ireland Housing Statistics report</w:t>
      </w:r>
      <w:r>
        <w:rPr>
          <w:rFonts w:ascii="Arial" w:hAnsi="Arial" w:cs="Arial"/>
        </w:rPr>
        <w:t xml:space="preserve"> in previous years. </w:t>
      </w:r>
      <w:r w:rsidRPr="00BF23E8">
        <w:rPr>
          <w:rFonts w:ascii="Arial" w:hAnsi="Arial" w:cs="Arial"/>
        </w:rPr>
        <w:t>This is d</w:t>
      </w:r>
      <w:r>
        <w:rPr>
          <w:rFonts w:ascii="Arial" w:hAnsi="Arial" w:cs="Arial"/>
        </w:rPr>
        <w:t xml:space="preserve">ue to a change in methodology. </w:t>
      </w:r>
      <w:r w:rsidRPr="00BF23E8">
        <w:rPr>
          <w:rFonts w:ascii="Arial" w:hAnsi="Arial" w:cs="Arial"/>
          <w:lang w:val="en"/>
        </w:rPr>
        <w:t xml:space="preserve">Data for the financial year ending 2018 are based on person-level analysis, while years previous are based on household-level, and are not directly comparable. For a </w:t>
      </w:r>
      <w:r w:rsidRPr="00BF23E8">
        <w:rPr>
          <w:rFonts w:ascii="Arial" w:hAnsi="Arial" w:cs="Arial"/>
        </w:rPr>
        <w:t>consistent measure for gross income, based on the new person-level approach, in the UK</w:t>
      </w:r>
      <w:r w:rsidR="00060893">
        <w:rPr>
          <w:rFonts w:ascii="Arial" w:hAnsi="Arial" w:cs="Arial"/>
        </w:rPr>
        <w:t xml:space="preserve"> between financial year end 2017 and financial year end 2018, </w:t>
      </w:r>
      <w:r w:rsidRPr="00BF23E8">
        <w:rPr>
          <w:rFonts w:ascii="Arial" w:hAnsi="Arial" w:cs="Arial"/>
        </w:rPr>
        <w:t>please see</w:t>
      </w:r>
      <w:r w:rsidR="00060893">
        <w:rPr>
          <w:rFonts w:ascii="Arial" w:hAnsi="Arial" w:cs="Arial"/>
        </w:rPr>
        <w:t>:</w:t>
      </w:r>
      <w:r w:rsidR="00060893" w:rsidRPr="00060893">
        <w:t xml:space="preserve"> </w:t>
      </w:r>
      <w:hyperlink r:id="rId15" w:history="1">
        <w:r w:rsidR="00AD678C">
          <w:rPr>
            <w:rStyle w:val="Hyperlink"/>
            <w:rFonts w:ascii="Arial" w:hAnsi="Arial" w:cs="Arial"/>
          </w:rPr>
          <w:t>Household Income Historical Person Level Datasets</w:t>
        </w:r>
      </w:hyperlink>
      <w:r w:rsidR="00060893">
        <w:rPr>
          <w:rFonts w:ascii="Arial" w:hAnsi="Arial" w:cs="Arial"/>
        </w:rPr>
        <w:t>.</w:t>
      </w:r>
    </w:p>
    <w:p w:rsidR="00496230" w:rsidRPr="00C075C4" w:rsidRDefault="00FC6275" w:rsidP="00C075C4">
      <w:pPr>
        <w:pStyle w:val="Heading9"/>
      </w:pPr>
      <w:r w:rsidRPr="007E03F8">
        <w:t>Table 6.9</w:t>
      </w:r>
      <w:r w:rsidR="00496230" w:rsidRPr="007E03F8">
        <w:t xml:space="preserve">: Total </w:t>
      </w:r>
      <w:r w:rsidR="007A4F8E" w:rsidRPr="007E03F8">
        <w:t>weekly household income, sources of income and housing costs by tenure</w:t>
      </w:r>
      <w:r w:rsidR="00424DBF" w:rsidRPr="007E03F8">
        <w:t xml:space="preserve"> </w:t>
      </w:r>
      <w:r w:rsidR="00AC0A80" w:rsidRPr="007E03F8">
        <w:t>2018-19</w:t>
      </w:r>
    </w:p>
    <w:p w:rsidR="00496230" w:rsidRPr="006F26D6" w:rsidRDefault="002025DD" w:rsidP="00C075C4">
      <w:pPr>
        <w:spacing w:before="120" w:after="120"/>
        <w:jc w:val="both"/>
        <w:rPr>
          <w:rFonts w:ascii="Arial" w:eastAsia="Times New Roman" w:hAnsi="Arial" w:cs="Arial"/>
          <w:lang w:eastAsia="en-GB"/>
        </w:rPr>
      </w:pPr>
      <w:r>
        <w:rPr>
          <w:rFonts w:ascii="Arial" w:eastAsia="Times New Roman" w:hAnsi="Arial" w:cs="Arial"/>
          <w:lang w:eastAsia="en-GB"/>
        </w:rPr>
        <w:t>Table 6.9</w:t>
      </w:r>
      <w:r w:rsidR="00496230" w:rsidRPr="006F26D6">
        <w:rPr>
          <w:rFonts w:ascii="Arial" w:eastAsia="Times New Roman" w:hAnsi="Arial" w:cs="Arial"/>
          <w:lang w:eastAsia="en-GB"/>
        </w:rPr>
        <w:t xml:space="preserve"> provides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The survey contains information </w:t>
      </w:r>
      <w:r w:rsidR="00496230" w:rsidRPr="006F26D6">
        <w:rPr>
          <w:rFonts w:ascii="Arial" w:eastAsia="Times New Roman" w:hAnsi="Arial" w:cs="Arial"/>
          <w:lang w:eastAsia="en-GB"/>
        </w:rPr>
        <w:lastRenderedPageBreak/>
        <w:t>which is of interest to researchers and analysts from a wide range of disciplines in both the public and private sectors. The database can be accessed through the UK Data Archive.</w:t>
      </w:r>
    </w:p>
    <w:p w:rsidR="00424DBF" w:rsidRDefault="00424DBF" w:rsidP="00C075C4">
      <w:pPr>
        <w:spacing w:before="120" w:after="120"/>
        <w:jc w:val="both"/>
        <w:rPr>
          <w:rFonts w:ascii="Arial" w:hAnsi="Arial" w:cs="Arial"/>
        </w:rPr>
      </w:pPr>
      <w:r>
        <w:rPr>
          <w:rFonts w:ascii="Arial" w:eastAsia="Times New Roman" w:hAnsi="Arial" w:cs="Arial"/>
          <w:lang w:eastAsia="en-GB"/>
        </w:rPr>
        <w:t xml:space="preserve">The FRS sample size for Table 6.9 is </w:t>
      </w:r>
      <w:r w:rsidR="008D1244">
        <w:rPr>
          <w:rFonts w:ascii="Arial" w:eastAsia="Times New Roman" w:hAnsi="Arial" w:cs="Arial"/>
          <w:lang w:eastAsia="en-GB"/>
        </w:rPr>
        <w:t>2,017</w:t>
      </w:r>
      <w:r>
        <w:rPr>
          <w:rFonts w:ascii="Arial" w:eastAsia="Times New Roman" w:hAnsi="Arial" w:cs="Arial"/>
          <w:lang w:eastAsia="en-GB"/>
        </w:rPr>
        <w:t xml:space="preserve">. </w:t>
      </w:r>
      <w:r>
        <w:rPr>
          <w:rFonts w:ascii="Arial" w:hAnsi="Arial" w:cs="Arial"/>
        </w:rPr>
        <w:t>Further information on the survey can be found at the following link:</w:t>
      </w:r>
    </w:p>
    <w:p w:rsidR="00424DBF" w:rsidRDefault="00F06601" w:rsidP="00C075C4">
      <w:pPr>
        <w:spacing w:before="120" w:after="120"/>
        <w:jc w:val="both"/>
        <w:rPr>
          <w:rFonts w:ascii="Arial" w:eastAsia="Times New Roman" w:hAnsi="Arial" w:cs="Arial"/>
          <w:lang w:eastAsia="en-GB"/>
        </w:rPr>
      </w:pPr>
      <w:hyperlink r:id="rId16" w:history="1">
        <w:r w:rsidR="00AD678C">
          <w:rPr>
            <w:rStyle w:val="Hyperlink"/>
            <w:rFonts w:ascii="Arial" w:eastAsia="Times New Roman" w:hAnsi="Arial" w:cs="Arial"/>
            <w:lang w:eastAsia="en-GB"/>
          </w:rPr>
          <w:t>Family Resources Survey</w:t>
        </w:r>
      </w:hyperlink>
    </w:p>
    <w:p w:rsidR="00424DBF" w:rsidRDefault="00424DBF" w:rsidP="00C075C4">
      <w:pPr>
        <w:spacing w:before="120" w:after="120"/>
        <w:jc w:val="both"/>
        <w:rPr>
          <w:rFonts w:ascii="Arial" w:eastAsia="Times New Roman" w:hAnsi="Arial" w:cs="Arial"/>
          <w:lang w:eastAsia="en-GB"/>
        </w:rPr>
      </w:pPr>
      <w:r>
        <w:rPr>
          <w:rFonts w:ascii="Arial" w:eastAsia="Times New Roman" w:hAnsi="Arial" w:cs="Arial"/>
          <w:lang w:eastAsia="en-GB"/>
        </w:rPr>
        <w:t>Information relating to the methodology of the survey can be found in the methodology section of the individual reports.</w:t>
      </w:r>
    </w:p>
    <w:p w:rsidR="00424DBF" w:rsidRDefault="00424DBF"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latest United Kingdom version of the survey can be found here:</w:t>
      </w:r>
    </w:p>
    <w:p w:rsidR="00AC0A80" w:rsidRDefault="00F06601" w:rsidP="00C075C4">
      <w:pPr>
        <w:pStyle w:val="Heading10"/>
        <w:rPr>
          <w:rStyle w:val="Hyperlink"/>
          <w:rFonts w:eastAsiaTheme="majorEastAsia"/>
          <w:b w:val="0"/>
          <w:sz w:val="22"/>
          <w:szCs w:val="22"/>
        </w:rPr>
      </w:pPr>
      <w:hyperlink r:id="rId17" w:history="1">
        <w:r w:rsidR="00AC0A80">
          <w:rPr>
            <w:rStyle w:val="Hyperlink"/>
            <w:rFonts w:eastAsiaTheme="majorEastAsia"/>
            <w:b w:val="0"/>
            <w:sz w:val="22"/>
            <w:szCs w:val="22"/>
          </w:rPr>
          <w:t>UK Family Resources Survey</w:t>
        </w:r>
      </w:hyperlink>
    </w:p>
    <w:p w:rsidR="005733CB" w:rsidRPr="007E03F8" w:rsidRDefault="00FC6275" w:rsidP="00C075C4">
      <w:pPr>
        <w:pStyle w:val="Heading10"/>
      </w:pPr>
      <w:r w:rsidRPr="007E03F8">
        <w:t>Table 6.10</w:t>
      </w:r>
      <w:r w:rsidR="005733CB" w:rsidRPr="007E03F8">
        <w:t xml:space="preserve">: Percentage of </w:t>
      </w:r>
      <w:r w:rsidR="00424DBF" w:rsidRPr="007E03F8">
        <w:t xml:space="preserve">households in low-income before housing costs </w:t>
      </w:r>
      <w:r w:rsidR="00AC0A80" w:rsidRPr="007E03F8">
        <w:t>2018-19</w:t>
      </w:r>
    </w:p>
    <w:p w:rsidR="0008068C" w:rsidRPr="00C075C4" w:rsidRDefault="00FC6275" w:rsidP="00E610EF">
      <w:pPr>
        <w:pStyle w:val="Heading11"/>
      </w:pPr>
      <w:r w:rsidRPr="007E03F8">
        <w:t>Table 6.11</w:t>
      </w:r>
      <w:r w:rsidR="005733CB" w:rsidRPr="007E03F8">
        <w:t xml:space="preserve">: Percentage of </w:t>
      </w:r>
      <w:r w:rsidR="00424DBF" w:rsidRPr="007E03F8">
        <w:t>households in low-income after housing costs 2</w:t>
      </w:r>
      <w:r w:rsidR="00AC0A80" w:rsidRPr="007E03F8">
        <w:t>018-19</w:t>
      </w:r>
    </w:p>
    <w:p w:rsidR="009652E3" w:rsidRPr="006D6682" w:rsidRDefault="002025DD" w:rsidP="00C075C4">
      <w:pPr>
        <w:spacing w:before="120" w:after="120"/>
        <w:jc w:val="both"/>
        <w:rPr>
          <w:rFonts w:ascii="Arial" w:hAnsi="Arial" w:cs="Arial"/>
        </w:rPr>
      </w:pPr>
      <w:r>
        <w:rPr>
          <w:rFonts w:ascii="Arial" w:eastAsia="Times New Roman" w:hAnsi="Arial" w:cs="Arial"/>
          <w:lang w:eastAsia="en-GB"/>
        </w:rPr>
        <w:t>Tables 6.10 and 6.11</w:t>
      </w:r>
      <w:r w:rsidR="009652E3" w:rsidRPr="006D6682">
        <w:rPr>
          <w:rFonts w:ascii="Arial" w:eastAsia="Times New Roman" w:hAnsi="Arial" w:cs="Arial"/>
          <w:lang w:eastAsia="en-GB"/>
        </w:rPr>
        <w:t xml:space="preserve"> provide information from the Households below Average Income (HBAI) publication. The HBAI uses data collected in the Family Resources Survey (FRS) in Northern Ireland.  Household disposable incomes are adjusted for household size and composition, as a proxy for material living standards or, more precisely, for the level of consumption of goods and services that people could attain given the disposable income of the household in which they live. </w:t>
      </w:r>
      <w:r w:rsidR="009652E3" w:rsidRPr="006D6682">
        <w:rPr>
          <w:rFonts w:ascii="Arial" w:hAnsi="Arial" w:cs="Arial"/>
        </w:rPr>
        <w:t>The statistics and commentary give an insight into the standard of living of the household population in Northern Ireland, focusing on the lower part of income distribution.</w:t>
      </w:r>
    </w:p>
    <w:p w:rsidR="009652E3" w:rsidRPr="00C075C4" w:rsidRDefault="009652E3" w:rsidP="00C075C4">
      <w:pPr>
        <w:spacing w:before="120" w:after="120"/>
        <w:jc w:val="both"/>
        <w:rPr>
          <w:rFonts w:ascii="Arial" w:eastAsia="Times New Roman" w:hAnsi="Arial" w:cs="Arial"/>
          <w:lang w:eastAsia="en-GB"/>
        </w:rPr>
      </w:pPr>
      <w:r w:rsidRPr="006D6682">
        <w:rPr>
          <w:rFonts w:ascii="Arial" w:hAnsi="Arial" w:cs="Arial"/>
        </w:rPr>
        <w:t xml:space="preserve">The sample sizes used in the HBAI data analysis are </w:t>
      </w:r>
      <w:r w:rsidR="00424DBF">
        <w:rPr>
          <w:rFonts w:ascii="Arial" w:hAnsi="Arial" w:cs="Arial"/>
        </w:rPr>
        <w:t>1,856</w:t>
      </w:r>
      <w:r w:rsidR="00424DBF">
        <w:rPr>
          <w:rFonts w:ascii="Arial" w:hAnsi="Arial" w:cs="Arial"/>
        </w:rPr>
        <w:tab/>
        <w:t>1,921</w:t>
      </w:r>
      <w:r w:rsidR="00424DBF">
        <w:rPr>
          <w:rFonts w:ascii="Arial" w:hAnsi="Arial" w:cs="Arial"/>
        </w:rPr>
        <w:tab/>
        <w:t>2,027</w:t>
      </w:r>
      <w:r w:rsidR="00424DBF">
        <w:rPr>
          <w:rFonts w:ascii="Arial" w:hAnsi="Arial" w:cs="Arial"/>
        </w:rPr>
        <w:tab/>
        <w:t>1,888</w:t>
      </w:r>
      <w:r w:rsidR="00424DBF">
        <w:rPr>
          <w:rFonts w:ascii="Arial" w:hAnsi="Arial" w:cs="Arial"/>
        </w:rPr>
        <w:tab/>
        <w:t xml:space="preserve">1,932, </w:t>
      </w:r>
      <w:r w:rsidR="00424DBF" w:rsidRPr="00424DBF">
        <w:rPr>
          <w:rFonts w:ascii="Arial" w:hAnsi="Arial" w:cs="Arial"/>
        </w:rPr>
        <w:t>1,885</w:t>
      </w:r>
      <w:r w:rsidR="00424DBF" w:rsidRPr="00424DBF">
        <w:rPr>
          <w:rFonts w:ascii="Arial" w:hAnsi="Arial" w:cs="Arial"/>
        </w:rPr>
        <w:tab/>
        <w:t>1,959</w:t>
      </w:r>
      <w:r w:rsidR="00424DBF" w:rsidRPr="00424DBF">
        <w:rPr>
          <w:rFonts w:ascii="Arial" w:hAnsi="Arial" w:cs="Arial"/>
        </w:rPr>
        <w:tab/>
        <w:t>1,866</w:t>
      </w:r>
      <w:r w:rsidR="00424DBF" w:rsidRPr="00424DBF">
        <w:rPr>
          <w:rFonts w:ascii="Arial" w:hAnsi="Arial" w:cs="Arial"/>
        </w:rPr>
        <w:tab/>
        <w:t>1,925</w:t>
      </w:r>
      <w:r w:rsidR="00424DBF" w:rsidRPr="00424DBF">
        <w:rPr>
          <w:rFonts w:ascii="Arial" w:hAnsi="Arial" w:cs="Arial"/>
        </w:rPr>
        <w:tab/>
        <w:t>1,975</w:t>
      </w:r>
      <w:r w:rsidR="00424DBF" w:rsidRPr="00424DBF">
        <w:rPr>
          <w:rFonts w:ascii="Arial" w:hAnsi="Arial" w:cs="Arial"/>
        </w:rPr>
        <w:tab/>
        <w:t>1,864</w:t>
      </w:r>
      <w:r w:rsidR="008D1244">
        <w:rPr>
          <w:rFonts w:ascii="Arial" w:hAnsi="Arial" w:cs="Arial"/>
        </w:rPr>
        <w:t>, 2,013</w:t>
      </w:r>
      <w:r w:rsidR="00424DBF">
        <w:rPr>
          <w:rFonts w:ascii="Arial" w:hAnsi="Arial" w:cs="Arial"/>
        </w:rPr>
        <w:t xml:space="preserve"> </w:t>
      </w:r>
      <w:r w:rsidRPr="006D6682">
        <w:rPr>
          <w:rFonts w:ascii="Arial" w:hAnsi="Arial" w:cs="Arial"/>
        </w:rPr>
        <w:t>for the years 200</w:t>
      </w:r>
      <w:r w:rsidR="00424DBF">
        <w:rPr>
          <w:rFonts w:ascii="Arial" w:hAnsi="Arial" w:cs="Arial"/>
        </w:rPr>
        <w:t>7</w:t>
      </w:r>
      <w:r w:rsidRPr="006D6682">
        <w:rPr>
          <w:rFonts w:ascii="Arial" w:hAnsi="Arial" w:cs="Arial"/>
        </w:rPr>
        <w:t>-</w:t>
      </w:r>
      <w:r w:rsidR="00424DBF">
        <w:rPr>
          <w:rFonts w:ascii="Arial" w:hAnsi="Arial" w:cs="Arial"/>
          <w:color w:val="000000"/>
        </w:rPr>
        <w:t>08</w:t>
      </w:r>
      <w:r w:rsidRPr="00493A32">
        <w:rPr>
          <w:rFonts w:ascii="Arial" w:hAnsi="Arial" w:cs="Arial"/>
          <w:color w:val="000000"/>
        </w:rPr>
        <w:t xml:space="preserve"> to </w:t>
      </w:r>
      <w:r w:rsidR="008D1244">
        <w:rPr>
          <w:rFonts w:ascii="Arial" w:hAnsi="Arial" w:cs="Arial"/>
          <w:color w:val="000000"/>
        </w:rPr>
        <w:t>2018-19</w:t>
      </w:r>
      <w:r w:rsidRPr="00493A32">
        <w:rPr>
          <w:rFonts w:ascii="Arial" w:hAnsi="Arial" w:cs="Arial"/>
          <w:color w:val="000000"/>
        </w:rPr>
        <w:t xml:space="preserve"> respectively</w:t>
      </w:r>
      <w:r w:rsidRPr="006D6682">
        <w:rPr>
          <w:rFonts w:ascii="Arial" w:hAnsi="Arial" w:cs="Arial"/>
        </w:rPr>
        <w:t>.</w:t>
      </w:r>
    </w:p>
    <w:p w:rsidR="009652E3" w:rsidRPr="006D6682" w:rsidRDefault="009652E3" w:rsidP="00C075C4">
      <w:pPr>
        <w:spacing w:before="120" w:after="120"/>
        <w:jc w:val="both"/>
        <w:rPr>
          <w:rFonts w:ascii="Arial" w:hAnsi="Arial" w:cs="Arial"/>
        </w:rPr>
      </w:pPr>
      <w:r w:rsidRPr="006D6682">
        <w:rPr>
          <w:rFonts w:ascii="Arial" w:hAnsi="Arial" w:cs="Arial"/>
        </w:rPr>
        <w:t>These tables have been produced using revised grossing factors therefore data may not match previous publications. For more information see:</w:t>
      </w:r>
    </w:p>
    <w:p w:rsidR="009652E3" w:rsidRPr="006D6682" w:rsidRDefault="00F06601" w:rsidP="00C075C4">
      <w:pPr>
        <w:pStyle w:val="Style1"/>
        <w:numPr>
          <w:ilvl w:val="0"/>
          <w:numId w:val="0"/>
        </w:numPr>
        <w:spacing w:before="120" w:after="120" w:line="259" w:lineRule="auto"/>
        <w:jc w:val="both"/>
        <w:rPr>
          <w:rFonts w:ascii="Arial" w:eastAsia="Calibri" w:hAnsi="Arial" w:cs="Arial"/>
          <w:sz w:val="22"/>
          <w:szCs w:val="22"/>
          <w:lang w:eastAsia="en-US"/>
        </w:rPr>
      </w:pPr>
      <w:hyperlink r:id="rId18" w:history="1">
        <w:r w:rsidR="00AD678C">
          <w:rPr>
            <w:rStyle w:val="Hyperlink"/>
            <w:rFonts w:ascii="Arial" w:eastAsia="Calibri" w:hAnsi="Arial" w:cs="Arial"/>
            <w:sz w:val="22"/>
            <w:szCs w:val="22"/>
            <w:lang w:eastAsia="en-US"/>
          </w:rPr>
          <w:t>FRS Grossing Methodology Review and 2011 Census Updates</w:t>
        </w:r>
      </w:hyperlink>
      <w:r w:rsidR="009652E3" w:rsidRPr="006D6682">
        <w:rPr>
          <w:rFonts w:ascii="Arial" w:eastAsia="Calibri" w:hAnsi="Arial" w:cs="Arial"/>
          <w:sz w:val="22"/>
          <w:szCs w:val="22"/>
          <w:lang w:eastAsia="en-US"/>
        </w:rPr>
        <w:t xml:space="preserve"> and</w:t>
      </w:r>
    </w:p>
    <w:p w:rsidR="009652E3" w:rsidRPr="00C075C4" w:rsidRDefault="00F06601" w:rsidP="00C075C4">
      <w:pPr>
        <w:pStyle w:val="Style1"/>
        <w:numPr>
          <w:ilvl w:val="0"/>
          <w:numId w:val="0"/>
        </w:numPr>
        <w:spacing w:before="120" w:after="120" w:line="259" w:lineRule="auto"/>
        <w:jc w:val="both"/>
        <w:rPr>
          <w:rFonts w:ascii="Arial" w:eastAsia="Calibri" w:hAnsi="Arial" w:cs="Arial"/>
          <w:sz w:val="22"/>
          <w:szCs w:val="22"/>
          <w:lang w:eastAsia="en-US"/>
        </w:rPr>
      </w:pPr>
      <w:hyperlink r:id="rId19" w:history="1">
        <w:r w:rsidR="00AD678C">
          <w:rPr>
            <w:rStyle w:val="Hyperlink"/>
            <w:rFonts w:ascii="Arial" w:eastAsia="Calibri" w:hAnsi="Arial" w:cs="Arial"/>
            <w:sz w:val="22"/>
            <w:szCs w:val="22"/>
            <w:lang w:eastAsia="en-US"/>
          </w:rPr>
          <w:t>Households Belown Average Incomes Estimates</w:t>
        </w:r>
      </w:hyperlink>
    </w:p>
    <w:p w:rsidR="009652E3" w:rsidRPr="006D6682" w:rsidRDefault="009652E3" w:rsidP="00C075C4">
      <w:pPr>
        <w:pStyle w:val="Style1"/>
        <w:numPr>
          <w:ilvl w:val="0"/>
          <w:numId w:val="0"/>
        </w:numPr>
        <w:spacing w:before="120" w:after="120" w:line="259" w:lineRule="auto"/>
        <w:jc w:val="both"/>
        <w:rPr>
          <w:rFonts w:ascii="Arial" w:hAnsi="Arial" w:cs="Arial"/>
          <w:sz w:val="22"/>
          <w:szCs w:val="22"/>
        </w:rPr>
      </w:pPr>
      <w:r w:rsidRPr="006D6682">
        <w:rPr>
          <w:rFonts w:ascii="Arial" w:hAnsi="Arial" w:cs="Arial"/>
          <w:sz w:val="22"/>
          <w:szCs w:val="22"/>
        </w:rPr>
        <w:t>Further information on the HBAI can be found at the following link:</w:t>
      </w:r>
    </w:p>
    <w:p w:rsidR="009652E3" w:rsidRPr="00C075C4" w:rsidRDefault="00F06601" w:rsidP="00C075C4">
      <w:pPr>
        <w:spacing w:before="120" w:after="120"/>
        <w:jc w:val="both"/>
        <w:rPr>
          <w:rFonts w:ascii="Arial" w:hAnsi="Arial" w:cs="Arial"/>
        </w:rPr>
      </w:pPr>
      <w:hyperlink r:id="rId20" w:history="1">
        <w:r w:rsidR="00AD678C">
          <w:rPr>
            <w:rStyle w:val="Hyperlink"/>
            <w:rFonts w:ascii="Arial" w:hAnsi="Arial" w:cs="Arial"/>
          </w:rPr>
          <w:t>Households Below Average Income</w:t>
        </w:r>
      </w:hyperlink>
    </w:p>
    <w:p w:rsidR="009652E3" w:rsidRPr="006D6682" w:rsidRDefault="009652E3" w:rsidP="00C075C4">
      <w:pPr>
        <w:spacing w:before="120" w:after="120"/>
        <w:jc w:val="both"/>
        <w:rPr>
          <w:rFonts w:ascii="Arial" w:eastAsia="Times New Roman" w:hAnsi="Arial" w:cs="Arial"/>
          <w:lang w:eastAsia="en-GB"/>
        </w:rPr>
      </w:pPr>
      <w:r w:rsidRPr="006D6682">
        <w:rPr>
          <w:rFonts w:ascii="Arial" w:eastAsia="Times New Roman" w:hAnsi="Arial" w:cs="Arial"/>
          <w:lang w:eastAsia="en-GB"/>
        </w:rPr>
        <w:t xml:space="preserve">Information relating to the methodology of the HBAI can be found in the methodology section </w:t>
      </w:r>
      <w:r>
        <w:rPr>
          <w:rFonts w:ascii="Arial" w:eastAsia="Times New Roman" w:hAnsi="Arial" w:cs="Arial"/>
          <w:lang w:eastAsia="en-GB"/>
        </w:rPr>
        <w:t>on the link above</w:t>
      </w:r>
      <w:r w:rsidRPr="006D6682">
        <w:rPr>
          <w:rFonts w:ascii="Arial" w:eastAsia="Times New Roman" w:hAnsi="Arial" w:cs="Arial"/>
          <w:lang w:eastAsia="en-GB"/>
        </w:rPr>
        <w:t>.</w:t>
      </w:r>
    </w:p>
    <w:p w:rsidR="009652E3" w:rsidRPr="006D6682" w:rsidRDefault="009652E3" w:rsidP="00C075C4">
      <w:pPr>
        <w:pStyle w:val="Style1"/>
        <w:numPr>
          <w:ilvl w:val="0"/>
          <w:numId w:val="0"/>
        </w:numPr>
        <w:spacing w:before="120" w:after="120" w:line="259" w:lineRule="auto"/>
        <w:jc w:val="both"/>
        <w:rPr>
          <w:rFonts w:ascii="Arial" w:hAnsi="Arial" w:cs="Arial"/>
          <w:sz w:val="22"/>
          <w:szCs w:val="22"/>
        </w:rPr>
      </w:pPr>
      <w:r w:rsidRPr="006D6682">
        <w:rPr>
          <w:rFonts w:ascii="Arial" w:hAnsi="Arial" w:cs="Arial"/>
          <w:sz w:val="22"/>
          <w:szCs w:val="22"/>
        </w:rPr>
        <w:t>The latest United Kingdom version of the survey can be found here:</w:t>
      </w:r>
    </w:p>
    <w:p w:rsidR="00424DBF" w:rsidRPr="00C075C4" w:rsidRDefault="00F06601" w:rsidP="00C075C4">
      <w:pPr>
        <w:pStyle w:val="Style1"/>
        <w:numPr>
          <w:ilvl w:val="0"/>
          <w:numId w:val="0"/>
        </w:numPr>
        <w:tabs>
          <w:tab w:val="left" w:pos="720"/>
        </w:tabs>
        <w:spacing w:before="120" w:after="120" w:line="259" w:lineRule="auto"/>
        <w:jc w:val="both"/>
        <w:rPr>
          <w:rFonts w:ascii="Arial" w:hAnsi="Arial" w:cs="Arial"/>
          <w:sz w:val="22"/>
          <w:szCs w:val="22"/>
        </w:rPr>
      </w:pPr>
      <w:hyperlink r:id="rId21" w:history="1">
        <w:r w:rsidR="00AD678C">
          <w:rPr>
            <w:rStyle w:val="Hyperlink"/>
            <w:rFonts w:ascii="Arial" w:hAnsi="Arial" w:cs="Arial"/>
            <w:sz w:val="22"/>
            <w:szCs w:val="22"/>
          </w:rPr>
          <w:t>UK Households Below Average Income</w:t>
        </w:r>
      </w:hyperlink>
    </w:p>
    <w:p w:rsidR="00B23261" w:rsidRPr="00E610EF" w:rsidRDefault="00FC6275" w:rsidP="00E610EF">
      <w:pPr>
        <w:pStyle w:val="Heading12"/>
      </w:pPr>
      <w:r w:rsidRPr="00C075C4">
        <w:t>Table 6.12</w:t>
      </w:r>
      <w:r w:rsidR="00B23261" w:rsidRPr="00C075C4">
        <w:t xml:space="preserve">: </w:t>
      </w:r>
      <w:r w:rsidR="00EA13FA" w:rsidRPr="00C075C4">
        <w:t xml:space="preserve">Average </w:t>
      </w:r>
      <w:r w:rsidR="00EA13FA">
        <w:t xml:space="preserve">domestic residential property </w:t>
      </w:r>
      <w:r w:rsidR="00EA13FA" w:rsidRPr="00C075C4">
        <w:t xml:space="preserve">rates bill by local government district </w:t>
      </w:r>
      <w:r w:rsidR="00EA13FA">
        <w:t>2019-20</w:t>
      </w:r>
    </w:p>
    <w:p w:rsidR="00B23261" w:rsidRPr="00441451" w:rsidRDefault="00B23261" w:rsidP="00E610EF">
      <w:pPr>
        <w:spacing w:before="120" w:after="120"/>
        <w:jc w:val="both"/>
        <w:rPr>
          <w:rFonts w:ascii="Arial" w:hAnsi="Arial" w:cs="Arial"/>
          <w:b/>
          <w:color w:val="7030A0"/>
          <w:sz w:val="24"/>
          <w:szCs w:val="24"/>
        </w:rPr>
      </w:pPr>
      <w:r w:rsidRPr="00441451">
        <w:rPr>
          <w:rFonts w:ascii="Arial" w:hAnsi="Arial" w:cs="Arial"/>
          <w:b/>
          <w:color w:val="7030A0"/>
          <w:sz w:val="24"/>
          <w:szCs w:val="24"/>
        </w:rPr>
        <w:t>Description of the data</w:t>
      </w:r>
    </w:p>
    <w:p w:rsidR="00EA13FA" w:rsidRDefault="00EA13FA" w:rsidP="00EA13FA">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 xml:space="preserve">Table 6.12 provides the average domestic residential property rates bill for each local government district. </w:t>
      </w:r>
    </w:p>
    <w:p w:rsidR="00EA13FA" w:rsidRDefault="00EA13FA" w:rsidP="00EA13FA">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lastRenderedPageBreak/>
        <w:t>Domestic rates are calculated by multiplying the rateable capital value (CV) of a property by its domestic rate poundage.  The domestic rate poundage is made up of a regional rate poundage which is the same for all councils and a district rate poundage which is set independently by each council.  This is why properties in different councils with the same CV will have a different rates bill.</w:t>
      </w:r>
    </w:p>
    <w:p w:rsidR="00EA13FA" w:rsidRDefault="00EA13FA" w:rsidP="00EA13FA">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 xml:space="preserve">In table 6.12 the estimated average domestic residential property rates bill for each council is calculated by multiplying the average capital value of the domestic residential properties in the council by the council domestic rate poundage.  Only properties with a capital value of £20,000 or greater are included in the calculation as properties with a CV of less than £20,000 do not pay domestic rates.  </w:t>
      </w:r>
    </w:p>
    <w:p w:rsidR="00EA13FA" w:rsidRDefault="00EA13FA" w:rsidP="00EA13FA">
      <w:pPr>
        <w:pStyle w:val="NormalWeb"/>
        <w:spacing w:before="120" w:beforeAutospacing="0" w:after="120" w:afterAutospacing="0" w:line="259" w:lineRule="auto"/>
        <w:jc w:val="both"/>
      </w:pPr>
      <w:r>
        <w:rPr>
          <w:rFonts w:ascii="Arial" w:hAnsi="Arial" w:cs="Arial"/>
          <w:color w:val="000000"/>
          <w:sz w:val="22"/>
          <w:szCs w:val="22"/>
        </w:rPr>
        <w:t xml:space="preserve">Land &amp; Property Services publish the CV of each domestic property in Northern Ireland at   </w:t>
      </w:r>
      <w:hyperlink r:id="rId22" w:history="1">
        <w:r>
          <w:rPr>
            <w:rStyle w:val="Hyperlink"/>
          </w:rPr>
          <w:t>Valuation Lists | Department of Finance (finance-ni.gov.uk)</w:t>
        </w:r>
      </w:hyperlink>
    </w:p>
    <w:p w:rsidR="00EA13FA" w:rsidRDefault="00EA13FA" w:rsidP="00EA13FA">
      <w:pPr>
        <w:pStyle w:val="NormalWeb"/>
        <w:spacing w:before="120" w:beforeAutospacing="0" w:after="120" w:afterAutospacing="0" w:line="259" w:lineRule="auto"/>
        <w:jc w:val="both"/>
      </w:pPr>
      <w:r>
        <w:rPr>
          <w:rFonts w:ascii="Arial" w:hAnsi="Arial" w:cs="Arial"/>
          <w:color w:val="000000"/>
          <w:sz w:val="22"/>
          <w:szCs w:val="22"/>
        </w:rPr>
        <w:t xml:space="preserve">and average capital values are available at </w:t>
      </w:r>
      <w:hyperlink r:id="rId23" w:history="1">
        <w:r>
          <w:rPr>
            <w:rStyle w:val="Hyperlink"/>
          </w:rPr>
          <w:t>People and Places datasets - NINIS: Northern Ireland Neighbourhood Information Service (nisra.gov.uk)</w:t>
        </w:r>
      </w:hyperlink>
    </w:p>
    <w:p w:rsidR="00EA13FA" w:rsidRDefault="00EA13FA" w:rsidP="00EA13FA">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 xml:space="preserve">DfC publish the district rate poundages in their local government circulars.  </w:t>
      </w:r>
      <w:hyperlink r:id="rId24" w:history="1">
        <w:r>
          <w:rPr>
            <w:rStyle w:val="Hyperlink"/>
          </w:rPr>
          <w:t>Circular LG 09/2019 – Rate Statistics 2019/2020 | Department for Communities (communities-ni.gov.uk)</w:t>
        </w:r>
      </w:hyperlink>
    </w:p>
    <w:p w:rsidR="00EA13FA" w:rsidRDefault="00EA13FA" w:rsidP="00EA13FA">
      <w:pPr>
        <w:pStyle w:val="NormalWeb"/>
        <w:spacing w:before="120" w:beforeAutospacing="0" w:after="120" w:afterAutospacing="0" w:line="259" w:lineRule="auto"/>
        <w:jc w:val="both"/>
      </w:pPr>
      <w:r>
        <w:rPr>
          <w:rFonts w:ascii="Arial" w:hAnsi="Arial" w:cs="Arial"/>
          <w:color w:val="000000"/>
          <w:sz w:val="22"/>
          <w:szCs w:val="22"/>
        </w:rPr>
        <w:t xml:space="preserve">The regional rate poundages are available at </w:t>
      </w:r>
      <w:hyperlink r:id="rId25" w:history="1">
        <w:r>
          <w:rPr>
            <w:rStyle w:val="Hyperlink"/>
          </w:rPr>
          <w:t>Poundages 2019 - 2020 | Department of Finance (finance-ni.gov.uk)</w:t>
        </w:r>
      </w:hyperlink>
    </w:p>
    <w:p w:rsidR="00EA13FA" w:rsidRDefault="00EA13FA" w:rsidP="00EA13FA">
      <w:pPr>
        <w:pStyle w:val="NormalWeb"/>
        <w:spacing w:before="120" w:beforeAutospacing="0" w:after="120" w:afterAutospacing="0" w:line="259" w:lineRule="auto"/>
        <w:jc w:val="both"/>
        <w:rPr>
          <w:rFonts w:ascii="Arial" w:hAnsi="Arial" w:cs="Arial"/>
          <w:color w:val="000000"/>
          <w:sz w:val="22"/>
          <w:szCs w:val="22"/>
        </w:rPr>
      </w:pPr>
    </w:p>
    <w:p w:rsidR="00EA13FA" w:rsidRDefault="00EA13FA" w:rsidP="00EA13FA">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For 2004-05 and 2005-06 the figures have been calculated by taking the total sum of rates assessed for occupied domestic properties in each district council area and dividing that sum by the number of occupied domestic properties as supplied by the previous Rates Collection Agency.</w:t>
      </w:r>
    </w:p>
    <w:p w:rsidR="00EA13FA" w:rsidRDefault="00EA13FA" w:rsidP="00EA13FA">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 xml:space="preserve">For 2006-07 and 2007-08 the average capital value for each local government district was calculated by Rating Policy Division in the Department of Finance (DoF) based upon the total capital value for all domestic properties divided by the number of domestic properties in the area as supplied by Land &amp; Property Services (LPS). </w:t>
      </w:r>
    </w:p>
    <w:p w:rsidR="00EA13FA" w:rsidRDefault="00EA13FA" w:rsidP="00EA13FA">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For 2008-09 onwards the average capital value data which is calculated by LPS has been used.</w:t>
      </w:r>
    </w:p>
    <w:p w:rsidR="00EA13FA" w:rsidRDefault="00EA13FA" w:rsidP="00EA13FA">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Due to the change in calculation method, data from 2008-09 onwards is not directly comparable with previous years.</w:t>
      </w:r>
    </w:p>
    <w:p w:rsidR="00B23261" w:rsidRPr="00441451" w:rsidRDefault="00B23261" w:rsidP="00EA13FA">
      <w:pPr>
        <w:spacing w:before="120" w:after="120"/>
        <w:jc w:val="both"/>
        <w:rPr>
          <w:rFonts w:ascii="Arial" w:eastAsia="Calibri" w:hAnsi="Arial" w:cs="Arial"/>
          <w:b/>
          <w:color w:val="7030A0"/>
          <w:sz w:val="24"/>
          <w:szCs w:val="24"/>
        </w:rPr>
      </w:pPr>
      <w:r w:rsidRPr="00441451">
        <w:rPr>
          <w:rFonts w:ascii="Arial" w:hAnsi="Arial" w:cs="Arial"/>
          <w:b/>
          <w:color w:val="7030A0"/>
          <w:sz w:val="24"/>
          <w:szCs w:val="24"/>
        </w:rPr>
        <w:t>Data Quality</w:t>
      </w:r>
    </w:p>
    <w:p w:rsidR="00EA13FA" w:rsidRDefault="00EA13FA" w:rsidP="00EA13FA">
      <w:pPr>
        <w:spacing w:before="120" w:after="120"/>
        <w:jc w:val="both"/>
        <w:rPr>
          <w:rFonts w:ascii="Arial" w:hAnsi="Arial" w:cs="Arial"/>
          <w:color w:val="000000"/>
        </w:rPr>
      </w:pPr>
      <w:r>
        <w:rPr>
          <w:rFonts w:ascii="Arial" w:hAnsi="Arial" w:cs="Arial"/>
          <w:color w:val="000000"/>
        </w:rPr>
        <w:t xml:space="preserve">The district rate poundages provided by DfC are accurate as they are agreed by councils and written into legislation.  </w:t>
      </w:r>
    </w:p>
    <w:p w:rsidR="00CE48CE" w:rsidRPr="00E610EF" w:rsidRDefault="00EA13FA" w:rsidP="00EA13FA">
      <w:pPr>
        <w:spacing w:before="120" w:after="120"/>
        <w:jc w:val="both"/>
        <w:rPr>
          <w:rFonts w:ascii="Arial" w:eastAsia="Times New Roman" w:hAnsi="Arial" w:cs="Arial"/>
          <w:color w:val="000000"/>
          <w:lang w:eastAsia="en-GB"/>
        </w:rPr>
      </w:pPr>
      <w:r w:rsidRPr="00D02A6B">
        <w:rPr>
          <w:rFonts w:ascii="Arial" w:eastAsia="Times New Roman" w:hAnsi="Arial" w:cs="Arial"/>
          <w:color w:val="000000"/>
          <w:lang w:eastAsia="en-GB"/>
        </w:rPr>
        <w:t>The information held in the NI Valuation List (e.g. capital values) is collected by chartered surveyors under the Rates Order (NI) 1977 with a view to assessing the property for tax. The data collected by chartered surveyors and trained assistant Valuers is essential for them to carry out their duties and produce a valuation. As such surveyors and Valuers are not only data collectors but also data users, who may be called to defend their decisions and evidence base in court. Therefore they have a clear incentive to ensure that the data is accurate and of good quality. The data is published on the DoF website and provided to the property owners on an annual basis (at the start of each financial year in the rates bill), allowing for any errors to be identified and corrected.</w:t>
      </w:r>
      <w:bookmarkStart w:id="4" w:name="_GoBack"/>
      <w:bookmarkEnd w:id="4"/>
    </w:p>
    <w:sectPr w:rsidR="00CE48CE" w:rsidRPr="00E610E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01" w:rsidRDefault="00F06601" w:rsidP="003C7E86">
      <w:pPr>
        <w:spacing w:after="0" w:line="240" w:lineRule="auto"/>
      </w:pPr>
      <w:r>
        <w:separator/>
      </w:r>
    </w:p>
  </w:endnote>
  <w:endnote w:type="continuationSeparator" w:id="0">
    <w:p w:rsidR="00F06601" w:rsidRDefault="00F06601"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724096"/>
      <w:docPartObj>
        <w:docPartGallery w:val="Page Numbers (Bottom of Page)"/>
        <w:docPartUnique/>
      </w:docPartObj>
    </w:sdtPr>
    <w:sdtEndPr>
      <w:rPr>
        <w:color w:val="7F7F7F" w:themeColor="background1" w:themeShade="7F"/>
        <w:spacing w:val="60"/>
      </w:rPr>
    </w:sdtEndPr>
    <w:sdtContent>
      <w:p w:rsidR="005733CB" w:rsidRDefault="005733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0435">
          <w:rPr>
            <w:noProof/>
          </w:rPr>
          <w:t>1</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01" w:rsidRDefault="00F06601" w:rsidP="003C7E86">
      <w:pPr>
        <w:spacing w:after="0" w:line="240" w:lineRule="auto"/>
      </w:pPr>
      <w:r>
        <w:separator/>
      </w:r>
    </w:p>
  </w:footnote>
  <w:footnote w:type="continuationSeparator" w:id="0">
    <w:p w:rsidR="00F06601" w:rsidRDefault="00F06601"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682367">
    <w:pPr>
      <w:pStyle w:val="Header"/>
    </w:pPr>
    <w:r w:rsidRPr="00682367">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2367" w:rsidRPr="00CD0D77" w:rsidRDefault="00682367" w:rsidP="00682367">
                              <w:pPr>
                                <w:pStyle w:val="Header"/>
                                <w:rPr>
                                  <w:caps/>
                                  <w:color w:val="FFFFFF" w:themeColor="background1"/>
                                </w:rPr>
                              </w:pPr>
                              <w:r w:rsidRPr="00CD0D77">
                                <w:rPr>
                                  <w:b/>
                                  <w:caps/>
                                  <w:color w:val="FFFFFF" w:themeColor="background1"/>
                                  <w:sz w:val="32"/>
                                </w:rPr>
                                <w:t>section six appendix: Household characteristics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82367" w:rsidRPr="00CD0D77" w:rsidRDefault="00682367" w:rsidP="00682367">
                        <w:pPr>
                          <w:pStyle w:val="Header"/>
                          <w:rPr>
                            <w:caps/>
                            <w:color w:val="FFFFFF" w:themeColor="background1"/>
                          </w:rPr>
                        </w:pPr>
                        <w:r w:rsidRPr="00CD0D77">
                          <w:rPr>
                            <w:b/>
                            <w:caps/>
                            <w:color w:val="FFFFFF" w:themeColor="background1"/>
                            <w:sz w:val="32"/>
                          </w:rPr>
                          <w:t>section six appendix: Household characteristics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6F05"/>
    <w:multiLevelType w:val="hybridMultilevel"/>
    <w:tmpl w:val="295E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E46BE"/>
    <w:multiLevelType w:val="hybridMultilevel"/>
    <w:tmpl w:val="4788BCB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D7"/>
    <w:multiLevelType w:val="hybridMultilevel"/>
    <w:tmpl w:val="D7429FAA"/>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56B6471F"/>
    <w:multiLevelType w:val="hybridMultilevel"/>
    <w:tmpl w:val="CB644A26"/>
    <w:lvl w:ilvl="0" w:tplc="E5186742">
      <w:start w:val="1"/>
      <w:numFmt w:val="bullet"/>
      <w:pStyle w:val="Subtitle"/>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596E22EF"/>
    <w:multiLevelType w:val="hybridMultilevel"/>
    <w:tmpl w:val="C36EDEAE"/>
    <w:lvl w:ilvl="0" w:tplc="52089298">
      <w:start w:val="1"/>
      <w:numFmt w:val="bullet"/>
      <w:lvlText w:val=""/>
      <w:lvlJc w:val="left"/>
      <w:pPr>
        <w:ind w:left="1854" w:hanging="360"/>
      </w:pPr>
      <w:rPr>
        <w:rFonts w:ascii="Symbol" w:eastAsia="Times New Roman" w:hAnsi="Symbol" w:cs="Aria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1"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D57BC"/>
    <w:multiLevelType w:val="hybridMultilevel"/>
    <w:tmpl w:val="FE70D8DA"/>
    <w:lvl w:ilvl="0" w:tplc="52089298">
      <w:start w:val="1"/>
      <w:numFmt w:val="bullet"/>
      <w:lvlText w:val=""/>
      <w:lvlJc w:val="left"/>
      <w:pPr>
        <w:ind w:left="1429" w:hanging="360"/>
      </w:pPr>
      <w:rPr>
        <w:rFonts w:ascii="Symbol" w:eastAsia="Times New Roman" w:hAnsi="Symbo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2"/>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3"/>
  </w:num>
  <w:num w:numId="11">
    <w:abstractNumId w:val="5"/>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60893"/>
    <w:rsid w:val="0008068C"/>
    <w:rsid w:val="0008351C"/>
    <w:rsid w:val="000A05E9"/>
    <w:rsid w:val="000B11C0"/>
    <w:rsid w:val="000B79D5"/>
    <w:rsid w:val="001A34E2"/>
    <w:rsid w:val="001A6B23"/>
    <w:rsid w:val="002025DD"/>
    <w:rsid w:val="00226C1D"/>
    <w:rsid w:val="002727C4"/>
    <w:rsid w:val="002A46CA"/>
    <w:rsid w:val="00323C3B"/>
    <w:rsid w:val="0037302D"/>
    <w:rsid w:val="003875CF"/>
    <w:rsid w:val="00397E7D"/>
    <w:rsid w:val="003C7E86"/>
    <w:rsid w:val="003E6962"/>
    <w:rsid w:val="00424DBF"/>
    <w:rsid w:val="00441451"/>
    <w:rsid w:val="004457E7"/>
    <w:rsid w:val="004522E1"/>
    <w:rsid w:val="004547D1"/>
    <w:rsid w:val="004766B7"/>
    <w:rsid w:val="00476C50"/>
    <w:rsid w:val="00496230"/>
    <w:rsid w:val="00503F37"/>
    <w:rsid w:val="00533378"/>
    <w:rsid w:val="00547F65"/>
    <w:rsid w:val="005733CB"/>
    <w:rsid w:val="00583173"/>
    <w:rsid w:val="005C0EA9"/>
    <w:rsid w:val="00633FB2"/>
    <w:rsid w:val="00635A4A"/>
    <w:rsid w:val="00652F34"/>
    <w:rsid w:val="00682367"/>
    <w:rsid w:val="00700E29"/>
    <w:rsid w:val="00717C64"/>
    <w:rsid w:val="00724DC8"/>
    <w:rsid w:val="0076676E"/>
    <w:rsid w:val="00797C8A"/>
    <w:rsid w:val="007A4F8E"/>
    <w:rsid w:val="007B4622"/>
    <w:rsid w:val="007E03F8"/>
    <w:rsid w:val="00830C8A"/>
    <w:rsid w:val="008D1244"/>
    <w:rsid w:val="008F0435"/>
    <w:rsid w:val="00907AD6"/>
    <w:rsid w:val="00961B40"/>
    <w:rsid w:val="009652E3"/>
    <w:rsid w:val="00965437"/>
    <w:rsid w:val="009F1648"/>
    <w:rsid w:val="00A5419F"/>
    <w:rsid w:val="00AC0A80"/>
    <w:rsid w:val="00AD678C"/>
    <w:rsid w:val="00B23261"/>
    <w:rsid w:val="00BF23E8"/>
    <w:rsid w:val="00BF3C5A"/>
    <w:rsid w:val="00C07434"/>
    <w:rsid w:val="00C075C4"/>
    <w:rsid w:val="00C21BA8"/>
    <w:rsid w:val="00C91A07"/>
    <w:rsid w:val="00CA279E"/>
    <w:rsid w:val="00CB44B8"/>
    <w:rsid w:val="00CD0D77"/>
    <w:rsid w:val="00CE0C08"/>
    <w:rsid w:val="00CE48CE"/>
    <w:rsid w:val="00CE6DC5"/>
    <w:rsid w:val="00DB0D60"/>
    <w:rsid w:val="00DB3911"/>
    <w:rsid w:val="00DC0964"/>
    <w:rsid w:val="00E111B9"/>
    <w:rsid w:val="00E33A1E"/>
    <w:rsid w:val="00E47DEE"/>
    <w:rsid w:val="00E610EF"/>
    <w:rsid w:val="00EA13FA"/>
    <w:rsid w:val="00ED7A2D"/>
    <w:rsid w:val="00EF40E6"/>
    <w:rsid w:val="00F06601"/>
    <w:rsid w:val="00F440EF"/>
    <w:rsid w:val="00F66F89"/>
    <w:rsid w:val="00F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C075C4"/>
    <w:pPr>
      <w:numPr>
        <w:numId w:val="0"/>
      </w:numPr>
      <w:tabs>
        <w:tab w:val="left" w:pos="720"/>
      </w:tabs>
      <w:spacing w:before="240" w:after="160" w:line="259" w:lineRule="auto"/>
      <w:outlineLvl w:val="0"/>
    </w:pPr>
    <w:rPr>
      <w:rFonts w:ascii="Arial" w:hAnsi="Arial" w:cs="Arial"/>
      <w:b/>
      <w:sz w:val="28"/>
    </w:rPr>
  </w:style>
  <w:style w:type="paragraph" w:styleId="Heading2">
    <w:name w:val="heading 2"/>
    <w:basedOn w:val="Style1"/>
    <w:next w:val="Normal"/>
    <w:link w:val="Heading2Char"/>
    <w:uiPriority w:val="9"/>
    <w:unhideWhenUsed/>
    <w:qFormat/>
    <w:rsid w:val="00C075C4"/>
    <w:pPr>
      <w:numPr>
        <w:numId w:val="0"/>
      </w:numPr>
      <w:tabs>
        <w:tab w:val="left" w:pos="720"/>
      </w:tabs>
      <w:spacing w:before="240" w:after="160" w:line="259" w:lineRule="auto"/>
      <w:outlineLvl w:val="1"/>
    </w:pPr>
    <w:rPr>
      <w:rFonts w:ascii="Arial" w:hAnsi="Arial" w:cs="Arial"/>
      <w:b/>
      <w:sz w:val="28"/>
    </w:rPr>
  </w:style>
  <w:style w:type="paragraph" w:styleId="Heading3">
    <w:name w:val="heading 3"/>
    <w:basedOn w:val="Style1"/>
    <w:next w:val="Normal"/>
    <w:link w:val="Heading3Char"/>
    <w:uiPriority w:val="9"/>
    <w:unhideWhenUsed/>
    <w:qFormat/>
    <w:rsid w:val="00C075C4"/>
    <w:pPr>
      <w:numPr>
        <w:numId w:val="0"/>
      </w:numPr>
      <w:tabs>
        <w:tab w:val="left" w:pos="720"/>
      </w:tabs>
      <w:spacing w:before="240" w:after="160" w:line="259" w:lineRule="auto"/>
      <w:outlineLvl w:val="2"/>
    </w:pPr>
    <w:rPr>
      <w:rFonts w:ascii="Arial" w:hAnsi="Arial" w:cs="Arial"/>
      <w:b/>
      <w:sz w:val="28"/>
    </w:rPr>
  </w:style>
  <w:style w:type="paragraph" w:styleId="Heading4">
    <w:name w:val="heading 4"/>
    <w:basedOn w:val="Style1"/>
    <w:next w:val="Normal"/>
    <w:link w:val="Heading4Char"/>
    <w:uiPriority w:val="9"/>
    <w:unhideWhenUsed/>
    <w:qFormat/>
    <w:rsid w:val="00C075C4"/>
    <w:pPr>
      <w:numPr>
        <w:numId w:val="0"/>
      </w:numPr>
      <w:spacing w:before="240" w:after="160" w:line="259" w:lineRule="auto"/>
      <w:outlineLvl w:val="3"/>
    </w:pPr>
    <w:rPr>
      <w:rFonts w:ascii="Arial" w:hAnsi="Arial" w:cs="Arial"/>
      <w:b/>
      <w:sz w:val="28"/>
    </w:rPr>
  </w:style>
  <w:style w:type="paragraph" w:styleId="Heading5">
    <w:name w:val="heading 5"/>
    <w:basedOn w:val="Style1"/>
    <w:next w:val="Normal"/>
    <w:link w:val="Heading5Char"/>
    <w:uiPriority w:val="9"/>
    <w:unhideWhenUsed/>
    <w:qFormat/>
    <w:rsid w:val="00C075C4"/>
    <w:pPr>
      <w:numPr>
        <w:numId w:val="0"/>
      </w:numPr>
      <w:tabs>
        <w:tab w:val="left" w:pos="720"/>
      </w:tabs>
      <w:spacing w:before="120" w:after="120" w:line="259" w:lineRule="auto"/>
      <w:outlineLvl w:val="4"/>
    </w:pPr>
    <w:rPr>
      <w:rFonts w:ascii="Arial" w:hAnsi="Arial" w:cs="Arial"/>
      <w:b/>
      <w:sz w:val="28"/>
    </w:rPr>
  </w:style>
  <w:style w:type="paragraph" w:styleId="Heading6">
    <w:name w:val="heading 6"/>
    <w:basedOn w:val="Style1"/>
    <w:next w:val="Normal"/>
    <w:link w:val="Heading6Char"/>
    <w:uiPriority w:val="9"/>
    <w:unhideWhenUsed/>
    <w:qFormat/>
    <w:rsid w:val="00C075C4"/>
    <w:pPr>
      <w:numPr>
        <w:numId w:val="0"/>
      </w:numPr>
      <w:tabs>
        <w:tab w:val="left" w:pos="720"/>
      </w:tabs>
      <w:spacing w:before="120" w:after="120" w:line="259" w:lineRule="auto"/>
      <w:outlineLvl w:val="5"/>
    </w:pPr>
    <w:rPr>
      <w:rFonts w:ascii="Arial" w:hAnsi="Arial" w:cs="Arial"/>
      <w:b/>
      <w:sz w:val="28"/>
    </w:rPr>
  </w:style>
  <w:style w:type="paragraph" w:styleId="Heading7">
    <w:name w:val="heading 7"/>
    <w:basedOn w:val="Style1"/>
    <w:next w:val="Normal"/>
    <w:link w:val="Heading7Char"/>
    <w:uiPriority w:val="9"/>
    <w:unhideWhenUsed/>
    <w:qFormat/>
    <w:rsid w:val="00C075C4"/>
    <w:pPr>
      <w:numPr>
        <w:numId w:val="0"/>
      </w:numPr>
      <w:tabs>
        <w:tab w:val="left" w:pos="720"/>
      </w:tabs>
      <w:spacing w:before="240" w:after="160" w:line="259" w:lineRule="auto"/>
      <w:jc w:val="both"/>
      <w:outlineLvl w:val="6"/>
    </w:pPr>
    <w:rPr>
      <w:rFonts w:ascii="Arial" w:hAnsi="Arial" w:cs="Arial"/>
      <w:b/>
      <w:sz w:val="28"/>
    </w:rPr>
  </w:style>
  <w:style w:type="paragraph" w:styleId="Heading8">
    <w:name w:val="heading 8"/>
    <w:basedOn w:val="Style1"/>
    <w:next w:val="Normal"/>
    <w:link w:val="Heading8Char"/>
    <w:uiPriority w:val="9"/>
    <w:unhideWhenUsed/>
    <w:qFormat/>
    <w:rsid w:val="00C075C4"/>
    <w:pPr>
      <w:numPr>
        <w:numId w:val="0"/>
      </w:numPr>
      <w:tabs>
        <w:tab w:val="left" w:pos="720"/>
      </w:tabs>
      <w:spacing w:before="240" w:after="160" w:line="259" w:lineRule="auto"/>
      <w:jc w:val="both"/>
      <w:outlineLvl w:val="7"/>
    </w:pPr>
    <w:rPr>
      <w:rFonts w:ascii="Arial" w:hAnsi="Arial" w:cs="Arial"/>
      <w:b/>
      <w:sz w:val="28"/>
    </w:rPr>
  </w:style>
  <w:style w:type="paragraph" w:styleId="Heading9">
    <w:name w:val="heading 9"/>
    <w:basedOn w:val="Style1"/>
    <w:next w:val="Normal"/>
    <w:link w:val="Heading9Char"/>
    <w:uiPriority w:val="9"/>
    <w:unhideWhenUsed/>
    <w:qFormat/>
    <w:rsid w:val="00C075C4"/>
    <w:pPr>
      <w:numPr>
        <w:numId w:val="0"/>
      </w:numPr>
      <w:tabs>
        <w:tab w:val="left" w:pos="720"/>
      </w:tabs>
      <w:spacing w:before="240" w:after="160" w:line="259" w:lineRule="auto"/>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C4"/>
    <w:rPr>
      <w:rFonts w:ascii="Arial" w:eastAsia="Times New Roman" w:hAnsi="Arial" w:cs="Arial"/>
      <w:b/>
      <w:sz w:val="28"/>
      <w:szCs w:val="24"/>
      <w:lang w:eastAsia="en-GB"/>
    </w:rPr>
  </w:style>
  <w:style w:type="character" w:customStyle="1" w:styleId="Heading2Char">
    <w:name w:val="Heading 2 Char"/>
    <w:basedOn w:val="DefaultParagraphFont"/>
    <w:link w:val="Heading2"/>
    <w:uiPriority w:val="9"/>
    <w:rsid w:val="00C075C4"/>
    <w:rPr>
      <w:rFonts w:ascii="Arial" w:eastAsia="Times New Roman" w:hAnsi="Arial" w:cs="Arial"/>
      <w:b/>
      <w:sz w:val="28"/>
      <w:szCs w:val="24"/>
      <w:lang w:eastAsia="en-GB"/>
    </w:rPr>
  </w:style>
  <w:style w:type="character" w:customStyle="1" w:styleId="Heading3Char">
    <w:name w:val="Heading 3 Char"/>
    <w:basedOn w:val="DefaultParagraphFont"/>
    <w:link w:val="Heading3"/>
    <w:uiPriority w:val="9"/>
    <w:rsid w:val="00C075C4"/>
    <w:rPr>
      <w:rFonts w:ascii="Arial" w:eastAsia="Times New Roman" w:hAnsi="Arial" w:cs="Arial"/>
      <w:b/>
      <w:sz w:val="28"/>
      <w:szCs w:val="24"/>
      <w:lang w:eastAsia="en-GB"/>
    </w:rPr>
  </w:style>
  <w:style w:type="character" w:customStyle="1" w:styleId="Heading4Char">
    <w:name w:val="Heading 4 Char"/>
    <w:basedOn w:val="DefaultParagraphFont"/>
    <w:link w:val="Heading4"/>
    <w:uiPriority w:val="9"/>
    <w:rsid w:val="00C075C4"/>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rsid w:val="00C075C4"/>
    <w:rPr>
      <w:rFonts w:ascii="Arial" w:eastAsia="Times New Roman" w:hAnsi="Arial" w:cs="Arial"/>
      <w:b/>
      <w:sz w:val="28"/>
      <w:szCs w:val="24"/>
      <w:lang w:eastAsia="en-GB"/>
    </w:rPr>
  </w:style>
  <w:style w:type="character" w:customStyle="1" w:styleId="Heading6Char">
    <w:name w:val="Heading 6 Char"/>
    <w:basedOn w:val="DefaultParagraphFont"/>
    <w:link w:val="Heading6"/>
    <w:uiPriority w:val="9"/>
    <w:rsid w:val="00C075C4"/>
    <w:rPr>
      <w:rFonts w:ascii="Arial" w:eastAsia="Times New Roman" w:hAnsi="Arial" w:cs="Arial"/>
      <w:b/>
      <w:sz w:val="28"/>
      <w:szCs w:val="24"/>
      <w:lang w:eastAsia="en-GB"/>
    </w:rPr>
  </w:style>
  <w:style w:type="character" w:customStyle="1" w:styleId="Heading7Char">
    <w:name w:val="Heading 7 Char"/>
    <w:basedOn w:val="DefaultParagraphFont"/>
    <w:link w:val="Heading7"/>
    <w:uiPriority w:val="9"/>
    <w:rsid w:val="00C075C4"/>
    <w:rPr>
      <w:rFonts w:ascii="Arial" w:eastAsia="Times New Roman" w:hAnsi="Arial" w:cs="Arial"/>
      <w:b/>
      <w:sz w:val="28"/>
      <w:szCs w:val="24"/>
      <w:lang w:eastAsia="en-GB"/>
    </w:rPr>
  </w:style>
  <w:style w:type="character" w:customStyle="1" w:styleId="Heading8Char">
    <w:name w:val="Heading 8 Char"/>
    <w:basedOn w:val="DefaultParagraphFont"/>
    <w:link w:val="Heading8"/>
    <w:uiPriority w:val="9"/>
    <w:rsid w:val="00C075C4"/>
    <w:rPr>
      <w:rFonts w:ascii="Arial" w:eastAsia="Times New Roman" w:hAnsi="Arial" w:cs="Arial"/>
      <w:b/>
      <w:sz w:val="28"/>
      <w:szCs w:val="24"/>
      <w:lang w:eastAsia="en-GB"/>
    </w:rPr>
  </w:style>
  <w:style w:type="character" w:customStyle="1" w:styleId="Heading9Char">
    <w:name w:val="Heading 9 Char"/>
    <w:basedOn w:val="DefaultParagraphFont"/>
    <w:link w:val="Heading9"/>
    <w:uiPriority w:val="9"/>
    <w:rsid w:val="00C075C4"/>
    <w:rPr>
      <w:rFonts w:ascii="Arial" w:eastAsia="Times New Roman" w:hAnsi="Arial" w:cs="Arial"/>
      <w:b/>
      <w:sz w:val="28"/>
      <w:szCs w:val="24"/>
      <w:lang w:eastAsia="en-GB"/>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Heading5"/>
    <w:next w:val="Normal"/>
    <w:link w:val="SubtitleChar"/>
    <w:uiPriority w:val="11"/>
    <w:qFormat/>
    <w:rsid w:val="00C075C4"/>
    <w:pPr>
      <w:numPr>
        <w:numId w:val="13"/>
      </w:numPr>
      <w:ind w:left="993" w:hanging="284"/>
      <w:jc w:val="both"/>
    </w:pPr>
    <w:rPr>
      <w:b w:val="0"/>
      <w:bCs/>
      <w:i/>
      <w:iCs/>
      <w:color w:val="8DB3E2" w:themeColor="text2" w:themeTint="66"/>
      <w:sz w:val="24"/>
    </w:rPr>
  </w:style>
  <w:style w:type="character" w:customStyle="1" w:styleId="SubtitleChar">
    <w:name w:val="Subtitle Char"/>
    <w:basedOn w:val="DefaultParagraphFont"/>
    <w:link w:val="Subtitle"/>
    <w:uiPriority w:val="11"/>
    <w:rsid w:val="00C075C4"/>
    <w:rPr>
      <w:rFonts w:ascii="Arial" w:eastAsia="Times New Roman" w:hAnsi="Arial" w:cs="Arial"/>
      <w:bCs/>
      <w:i/>
      <w:iCs/>
      <w:color w:val="8DB3E2" w:themeColor="text2" w:themeTint="66"/>
      <w:sz w:val="24"/>
      <w:szCs w:val="24"/>
      <w:lang w:eastAsia="en-GB"/>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link w:val="Style1Char"/>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introtext">
    <w:name w:val="introtext"/>
    <w:basedOn w:val="DefaultParagraphFont"/>
    <w:rsid w:val="005733CB"/>
  </w:style>
  <w:style w:type="paragraph" w:customStyle="1" w:styleId="Heading10">
    <w:name w:val="Heading 10"/>
    <w:basedOn w:val="Style1"/>
    <w:link w:val="Heading10Char"/>
    <w:qFormat/>
    <w:rsid w:val="00C075C4"/>
    <w:pPr>
      <w:numPr>
        <w:numId w:val="0"/>
      </w:numPr>
      <w:tabs>
        <w:tab w:val="left" w:pos="720"/>
      </w:tabs>
      <w:spacing w:before="240" w:after="160" w:line="259" w:lineRule="auto"/>
    </w:pPr>
    <w:rPr>
      <w:rFonts w:ascii="Arial" w:hAnsi="Arial" w:cs="Arial"/>
      <w:b/>
      <w:sz w:val="28"/>
    </w:rPr>
  </w:style>
  <w:style w:type="paragraph" w:customStyle="1" w:styleId="Heading11">
    <w:name w:val="Heading 11"/>
    <w:basedOn w:val="Style1"/>
    <w:link w:val="Heading11Char"/>
    <w:qFormat/>
    <w:rsid w:val="00E610EF"/>
    <w:pPr>
      <w:numPr>
        <w:numId w:val="0"/>
      </w:numPr>
      <w:tabs>
        <w:tab w:val="left" w:pos="720"/>
      </w:tabs>
      <w:spacing w:before="240" w:after="160" w:line="259" w:lineRule="auto"/>
    </w:pPr>
    <w:rPr>
      <w:rFonts w:ascii="Arial" w:hAnsi="Arial" w:cs="Arial"/>
      <w:b/>
      <w:sz w:val="28"/>
    </w:rPr>
  </w:style>
  <w:style w:type="character" w:customStyle="1" w:styleId="Style1Char">
    <w:name w:val="Style1 Char"/>
    <w:basedOn w:val="DefaultParagraphFont"/>
    <w:link w:val="Style1"/>
    <w:rsid w:val="00C075C4"/>
    <w:rPr>
      <w:rFonts w:ascii="Times New Roman" w:eastAsia="Times New Roman" w:hAnsi="Times New Roman" w:cs="Times New Roman"/>
      <w:sz w:val="24"/>
      <w:szCs w:val="24"/>
      <w:lang w:eastAsia="en-GB"/>
    </w:rPr>
  </w:style>
  <w:style w:type="character" w:customStyle="1" w:styleId="Heading10Char">
    <w:name w:val="Heading 10 Char"/>
    <w:basedOn w:val="Style1Char"/>
    <w:link w:val="Heading10"/>
    <w:rsid w:val="00C075C4"/>
    <w:rPr>
      <w:rFonts w:ascii="Arial" w:eastAsia="Times New Roman" w:hAnsi="Arial" w:cs="Arial"/>
      <w:b/>
      <w:sz w:val="28"/>
      <w:szCs w:val="24"/>
      <w:lang w:eastAsia="en-GB"/>
    </w:rPr>
  </w:style>
  <w:style w:type="paragraph" w:customStyle="1" w:styleId="Heading12">
    <w:name w:val="Heading 12"/>
    <w:basedOn w:val="Style1"/>
    <w:link w:val="Heading12Char"/>
    <w:qFormat/>
    <w:rsid w:val="00E610EF"/>
    <w:pPr>
      <w:numPr>
        <w:numId w:val="0"/>
      </w:numPr>
      <w:tabs>
        <w:tab w:val="left" w:pos="720"/>
      </w:tabs>
      <w:spacing w:before="240" w:after="160" w:line="259" w:lineRule="auto"/>
      <w:jc w:val="both"/>
    </w:pPr>
    <w:rPr>
      <w:rFonts w:ascii="Arial" w:hAnsi="Arial" w:cs="Arial"/>
      <w:b/>
      <w:color w:val="000000"/>
      <w:sz w:val="28"/>
    </w:rPr>
  </w:style>
  <w:style w:type="character" w:customStyle="1" w:styleId="Heading11Char">
    <w:name w:val="Heading 11 Char"/>
    <w:basedOn w:val="Style1Char"/>
    <w:link w:val="Heading11"/>
    <w:rsid w:val="00E610EF"/>
    <w:rPr>
      <w:rFonts w:ascii="Arial" w:eastAsia="Times New Roman" w:hAnsi="Arial" w:cs="Arial"/>
      <w:b/>
      <w:sz w:val="28"/>
      <w:szCs w:val="24"/>
      <w:lang w:eastAsia="en-GB"/>
    </w:rPr>
  </w:style>
  <w:style w:type="character" w:customStyle="1" w:styleId="Heading12Char">
    <w:name w:val="Heading 12 Char"/>
    <w:basedOn w:val="Style1Char"/>
    <w:link w:val="Heading12"/>
    <w:rsid w:val="00E610EF"/>
    <w:rPr>
      <w:rFonts w:ascii="Arial" w:eastAsia="Times New Roman" w:hAnsi="Arial" w:cs="Arial"/>
      <w:b/>
      <w:color w:val="00000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6739">
      <w:bodyDiv w:val="1"/>
      <w:marLeft w:val="0"/>
      <w:marRight w:val="0"/>
      <w:marTop w:val="0"/>
      <w:marBottom w:val="0"/>
      <w:divBdr>
        <w:top w:val="none" w:sz="0" w:space="0" w:color="auto"/>
        <w:left w:val="none" w:sz="0" w:space="0" w:color="auto"/>
        <w:bottom w:val="none" w:sz="0" w:space="0" w:color="auto"/>
        <w:right w:val="none" w:sz="0" w:space="0" w:color="auto"/>
      </w:divBdr>
    </w:div>
    <w:div w:id="414017425">
      <w:bodyDiv w:val="1"/>
      <w:marLeft w:val="0"/>
      <w:marRight w:val="0"/>
      <w:marTop w:val="0"/>
      <w:marBottom w:val="0"/>
      <w:divBdr>
        <w:top w:val="none" w:sz="0" w:space="0" w:color="auto"/>
        <w:left w:val="none" w:sz="0" w:space="0" w:color="auto"/>
        <w:bottom w:val="none" w:sz="0" w:space="0" w:color="auto"/>
        <w:right w:val="none" w:sz="0" w:space="0" w:color="auto"/>
      </w:divBdr>
    </w:div>
    <w:div w:id="666398983">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7120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find-your-survey/continuous-household-survey" TargetMode="External"/><Relationship Id="rId13" Type="http://schemas.openxmlformats.org/officeDocument/2006/relationships/hyperlink" Target="https://www.ons.gov.uk/peoplepopulationandcommunity/personalandhouseholdfinances/incomeandwealth/methodologies/livingcostsandfoodsurvey" TargetMode="External"/><Relationship Id="rId18" Type="http://schemas.openxmlformats.org/officeDocument/2006/relationships/hyperlink" Target="https://www.gov.uk/government/publications/family-resources-survey-grossing-methodology-review-and-2011-census-updat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statistics/households-below-average-income-199495-to-201819" TargetMode="External"/><Relationship Id="rId7" Type="http://schemas.openxmlformats.org/officeDocument/2006/relationships/hyperlink" Target="https://www.nisra.gov.uk/publications/northern-ireland-household-projections-2016-based" TargetMode="External"/><Relationship Id="rId12" Type="http://schemas.openxmlformats.org/officeDocument/2006/relationships/hyperlink" Target="http://unstats.un.org/unsd/default.htm" TargetMode="External"/><Relationship Id="rId17" Type="http://schemas.openxmlformats.org/officeDocument/2006/relationships/hyperlink" Target="https://www.gov.uk/government/statistics/family-resources-survey-financial-year-201819" TargetMode="External"/><Relationship Id="rId25" Type="http://schemas.openxmlformats.org/officeDocument/2006/relationships/hyperlink" Target="https://www.finance-ni.gov.uk/articles/poundages-2019-2020" TargetMode="External"/><Relationship Id="rId2" Type="http://schemas.openxmlformats.org/officeDocument/2006/relationships/styles" Target="styles.xml"/><Relationship Id="rId16" Type="http://schemas.openxmlformats.org/officeDocument/2006/relationships/hyperlink" Target="https://www.communities-ni.gov.uk/topics/family-resources-survey" TargetMode="External"/><Relationship Id="rId20" Type="http://schemas.openxmlformats.org/officeDocument/2006/relationships/hyperlink" Target="https://www.gov.uk/government/statistics/households-below-average-income-199495-to-2018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Documents/Research/HCS-Main-Reports-2016/HCS-Main-Report-2016.aspx" TargetMode="External"/><Relationship Id="rId24" Type="http://schemas.openxmlformats.org/officeDocument/2006/relationships/hyperlink" Target="https://www.communities-ni.gov.uk/publications/circular-lg-092019-rate-statistics-20192020" TargetMode="External"/><Relationship Id="rId5" Type="http://schemas.openxmlformats.org/officeDocument/2006/relationships/footnotes" Target="footnotes.xml"/><Relationship Id="rId15" Type="http://schemas.openxmlformats.org/officeDocument/2006/relationships/hyperlink" Target="https://www.ons.gov.uk/peoplepopulationandcommunity/personalandhouseholdfinances/incomeandwealth/datasets/effectoftaxesandbenefitsonhouseholdincomehistoricalpersonleveldatasets" TargetMode="External"/><Relationship Id="rId23" Type="http://schemas.openxmlformats.org/officeDocument/2006/relationships/hyperlink" Target="http://www.ninis2.nisra.gov.uk/public/Theme.aspx?themeNumber=10&amp;themeName=People%20and%20Places" TargetMode="External"/><Relationship Id="rId28" Type="http://schemas.openxmlformats.org/officeDocument/2006/relationships/fontTable" Target="fontTable.xml"/><Relationship Id="rId10" Type="http://schemas.openxmlformats.org/officeDocument/2006/relationships/hyperlink" Target="http://www.nihe.gov.uk/Working-With-Us/Research/NIHCS-statistics-quality-information" TargetMode="External"/><Relationship Id="rId19" Type="http://schemas.openxmlformats.org/officeDocument/2006/relationships/hyperlink" Target="https://www.gov.uk/government/publications/re-grossed-households-below-average-income-hbai-estimates-200203-to-201112" TargetMode="External"/><Relationship Id="rId4" Type="http://schemas.openxmlformats.org/officeDocument/2006/relationships/webSettings" Target="webSettings.xml"/><Relationship Id="rId9" Type="http://schemas.openxmlformats.org/officeDocument/2006/relationships/hyperlink" Target="http://www.nihe.gov.uk/Working-With-Us/Research/House-Condition-Survey" TargetMode="External"/><Relationship Id="rId14" Type="http://schemas.openxmlformats.org/officeDocument/2006/relationships/hyperlink" Target="https://www.ons.gov.uk/peoplepopulationandcommunity/personalandhouseholdfinances/expenditure/bulletins/familyspendingintheuk/april2018tomarch2019" TargetMode="External"/><Relationship Id="rId22" Type="http://schemas.openxmlformats.org/officeDocument/2006/relationships/hyperlink" Target="https://www.finance-ni.gov.uk/topics/property-valuation/valuation-lis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six appendix: Household characteristics</vt:lpstr>
    </vt:vector>
  </TitlesOfParts>
  <Company>NICS</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six appendix: Household characteristics</dc:title>
  <dc:subject/>
  <dc:creator>Katie Fulton</dc:creator>
  <cp:keywords/>
  <dc:description/>
  <cp:lastModifiedBy>Katie Fulton</cp:lastModifiedBy>
  <cp:revision>2</cp:revision>
  <dcterms:created xsi:type="dcterms:W3CDTF">2021-02-04T15:06:00Z</dcterms:created>
  <dcterms:modified xsi:type="dcterms:W3CDTF">2021-02-04T15:06:00Z</dcterms:modified>
</cp:coreProperties>
</file>