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F00F5" w14:textId="51FD629E" w:rsidR="00AF23E4" w:rsidRPr="00710FB9" w:rsidRDefault="00AF23E4" w:rsidP="00710FB9">
      <w:pPr>
        <w:pStyle w:val="Heading1"/>
      </w:pPr>
      <w:r w:rsidRPr="00710FB9">
        <w:t xml:space="preserve">Table 3.1: NIHE </w:t>
      </w:r>
      <w:r w:rsidR="008000EF" w:rsidRPr="00710FB9">
        <w:t>average weekly rent, collectable rental income and arrears</w:t>
      </w:r>
      <w:r w:rsidR="00A52DF9" w:rsidRPr="00710FB9">
        <w:t xml:space="preserve">, 2002-03 to </w:t>
      </w:r>
      <w:r w:rsidR="00F4089B">
        <w:t>2025-26</w:t>
      </w:r>
    </w:p>
    <w:p w14:paraId="61648A3F" w14:textId="77777777" w:rsidR="00AF23E4" w:rsidRDefault="00AF23E4" w:rsidP="00710FB9">
      <w:pPr>
        <w:spacing w:before="120" w:after="120"/>
        <w:jc w:val="both"/>
        <w:rPr>
          <w:rFonts w:ascii="Arial" w:hAnsi="Arial" w:cs="Arial"/>
          <w:b/>
          <w:color w:val="7030A0"/>
          <w:sz w:val="24"/>
          <w:szCs w:val="24"/>
        </w:rPr>
      </w:pPr>
      <w:r>
        <w:rPr>
          <w:rFonts w:ascii="Arial" w:hAnsi="Arial" w:cs="Arial"/>
          <w:b/>
          <w:color w:val="7030A0"/>
          <w:sz w:val="24"/>
          <w:szCs w:val="24"/>
        </w:rPr>
        <w:t>Data Quality</w:t>
      </w:r>
    </w:p>
    <w:p w14:paraId="69188B85" w14:textId="77777777" w:rsidR="00AF23E4" w:rsidRDefault="00AF23E4" w:rsidP="00710FB9">
      <w:pPr>
        <w:spacing w:before="120" w:after="120"/>
        <w:jc w:val="both"/>
        <w:rPr>
          <w:rFonts w:ascii="Arial" w:hAnsi="Arial" w:cs="Arial"/>
          <w:i/>
          <w:color w:val="7030A0"/>
          <w:sz w:val="24"/>
          <w:szCs w:val="24"/>
        </w:rPr>
      </w:pPr>
      <w:r>
        <w:rPr>
          <w:rFonts w:ascii="Arial" w:hAnsi="Arial" w:cs="Arial"/>
          <w:i/>
          <w:color w:val="7030A0"/>
          <w:sz w:val="24"/>
          <w:szCs w:val="24"/>
        </w:rPr>
        <w:t>Relevance</w:t>
      </w:r>
    </w:p>
    <w:p w14:paraId="6DAD5816" w14:textId="77777777" w:rsidR="00AF23E4" w:rsidRDefault="00AF23E4" w:rsidP="00710FB9">
      <w:pPr>
        <w:spacing w:before="120" w:after="120"/>
        <w:jc w:val="both"/>
        <w:rPr>
          <w:rFonts w:ascii="Arial" w:hAnsi="Arial" w:cs="Arial"/>
        </w:rPr>
      </w:pPr>
      <w:r>
        <w:rPr>
          <w:rFonts w:ascii="Arial" w:hAnsi="Arial" w:cs="Arial"/>
        </w:rPr>
        <w:t xml:space="preserve">Data on average rent, rent arrears and collectable rent is sourced from the Housing Executive’s computerised Housing Management System (HMS), which holds up-to-date data on all Housing Executive rent accounts. The data in the table relates solely to properties rented from the Housing Executive.  Users of the tables are those with an interest in the housing sector; including government officials, the voluntary sector, charities, </w:t>
      </w:r>
      <w:r w:rsidR="0034446A">
        <w:rPr>
          <w:rFonts w:ascii="Arial" w:hAnsi="Arial" w:cs="Arial"/>
        </w:rPr>
        <w:t xml:space="preserve">the private sector and others. </w:t>
      </w:r>
      <w:r>
        <w:rPr>
          <w:rFonts w:ascii="Arial" w:hAnsi="Arial" w:cs="Arial"/>
        </w:rPr>
        <w:t>The average rent figures are based on information about all Housing Executive tenancies in Northern Ireland. The arrears figures are based on information about all Housing Executive tenancies in Northern Ireland but also include arrears owed by former tenants.</w:t>
      </w:r>
    </w:p>
    <w:p w14:paraId="2E193DFA" w14:textId="77777777" w:rsidR="00AF23E4" w:rsidRDefault="00AF23E4" w:rsidP="00710FB9">
      <w:pPr>
        <w:spacing w:before="120" w:after="120"/>
        <w:jc w:val="both"/>
        <w:rPr>
          <w:rFonts w:ascii="Arial" w:hAnsi="Arial" w:cs="Arial"/>
          <w:i/>
          <w:color w:val="7030A0"/>
          <w:sz w:val="24"/>
          <w:szCs w:val="24"/>
        </w:rPr>
      </w:pPr>
      <w:r>
        <w:rPr>
          <w:rFonts w:ascii="Arial" w:hAnsi="Arial" w:cs="Arial"/>
          <w:i/>
          <w:color w:val="7030A0"/>
          <w:sz w:val="24"/>
          <w:szCs w:val="24"/>
        </w:rPr>
        <w:t>Accessibility and Clarity</w:t>
      </w:r>
    </w:p>
    <w:p w14:paraId="196B6E93"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This table is published in the DfC’s annual Housing Statistics, where it is available in pdf, </w:t>
      </w:r>
      <w:r w:rsidR="00730481">
        <w:rPr>
          <w:rFonts w:ascii="Arial" w:hAnsi="Arial" w:cs="Arial"/>
          <w:sz w:val="22"/>
          <w:szCs w:val="22"/>
        </w:rPr>
        <w:t>open source</w:t>
      </w:r>
      <w:r>
        <w:rPr>
          <w:rFonts w:ascii="Arial" w:hAnsi="Arial" w:cs="Arial"/>
          <w:sz w:val="22"/>
          <w:szCs w:val="22"/>
        </w:rPr>
        <w:t xml:space="preserve"> and Word format. Requests for the information in different formats can be made by contacting the Department for Communities. Supporting and/or additional information may be available on request from the Housing Executive.</w:t>
      </w:r>
    </w:p>
    <w:p w14:paraId="497DAD35" w14:textId="77777777" w:rsidR="00AF23E4" w:rsidRDefault="00AF23E4" w:rsidP="00710FB9">
      <w:pPr>
        <w:spacing w:before="120" w:after="120"/>
        <w:jc w:val="both"/>
        <w:rPr>
          <w:rFonts w:ascii="Arial" w:hAnsi="Arial" w:cs="Arial"/>
          <w:i/>
          <w:color w:val="7030A0"/>
          <w:sz w:val="24"/>
          <w:szCs w:val="24"/>
        </w:rPr>
      </w:pPr>
      <w:r>
        <w:rPr>
          <w:rFonts w:ascii="Arial" w:hAnsi="Arial" w:cs="Arial"/>
          <w:i/>
          <w:color w:val="7030A0"/>
          <w:sz w:val="24"/>
          <w:szCs w:val="24"/>
        </w:rPr>
        <w:t xml:space="preserve">Accuracy </w:t>
      </w:r>
    </w:p>
    <w:p w14:paraId="756A9FBF"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Data on average rent are validated on a yearly basis, confirmed by senior management and reported to the Housing Executive Board in an annual Rent Increase Board Paper. Records are inspected periodically by the Housing Executive’s Internal Audit Unit. The Average Rent figure remains static throughout the year.</w:t>
      </w:r>
    </w:p>
    <w:p w14:paraId="167F45E5" w14:textId="77777777"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color w:val="FF0000"/>
          <w:sz w:val="22"/>
          <w:szCs w:val="22"/>
        </w:rPr>
      </w:pPr>
      <w:r>
        <w:rPr>
          <w:rFonts w:ascii="Arial" w:hAnsi="Arial" w:cs="Arial"/>
          <w:sz w:val="22"/>
          <w:szCs w:val="22"/>
        </w:rPr>
        <w:t>Data on rent arrears and collectable rental income are subject to validation, and are reported to the Housing Executive Board, on a monthly basis. Records are inspected periodically by the Housing Executive’s Internal Audit Unit and can also be subjected to inspection by the Northern Ireland Audit Office. Figures can change slightly following year-end due to accounting adjustments. The service was also inspected by the DfC Accountability Section at the end of 2015/16 and received the top classification 1.</w:t>
      </w:r>
    </w:p>
    <w:p w14:paraId="2BA91E10"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i/>
          <w:color w:val="7030A0"/>
        </w:rPr>
      </w:pPr>
      <w:r>
        <w:rPr>
          <w:rFonts w:ascii="Arial" w:hAnsi="Arial" w:cs="Arial"/>
          <w:i/>
          <w:color w:val="7030A0"/>
        </w:rPr>
        <w:t>Timeliness</w:t>
      </w:r>
    </w:p>
    <w:p w14:paraId="11F30450" w14:textId="77777777"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Statistics on rental income are published on an annual basis in</w:t>
      </w:r>
      <w:r>
        <w:rPr>
          <w:rFonts w:ascii="Arial" w:hAnsi="Arial" w:cs="Arial"/>
          <w:color w:val="FF0000"/>
          <w:sz w:val="22"/>
          <w:szCs w:val="22"/>
        </w:rPr>
        <w:t xml:space="preserve"> </w:t>
      </w:r>
      <w:r>
        <w:rPr>
          <w:rFonts w:ascii="Arial" w:hAnsi="Arial" w:cs="Arial"/>
          <w:sz w:val="22"/>
          <w:szCs w:val="22"/>
        </w:rPr>
        <w:t>DfC’s Housing Statistics publication.</w:t>
      </w:r>
    </w:p>
    <w:p w14:paraId="32F922E4"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i/>
          <w:color w:val="7030A0"/>
        </w:rPr>
      </w:pPr>
      <w:r>
        <w:rPr>
          <w:rFonts w:ascii="Arial" w:hAnsi="Arial" w:cs="Arial"/>
          <w:i/>
          <w:color w:val="7030A0"/>
        </w:rPr>
        <w:t>Coherence and Comparability</w:t>
      </w:r>
    </w:p>
    <w:p w14:paraId="1ABC56A7" w14:textId="77777777" w:rsidR="00754D92"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The time series of data is coherent and directly comparably over time, as the methods of calculating data have not changed.</w:t>
      </w:r>
    </w:p>
    <w:p w14:paraId="465505A1" w14:textId="74A9981C" w:rsidR="00635A4A" w:rsidRPr="00710FB9" w:rsidRDefault="00635A4A" w:rsidP="00710FB9">
      <w:pPr>
        <w:pStyle w:val="Heading2"/>
      </w:pPr>
      <w:r w:rsidRPr="008444DD">
        <w:t xml:space="preserve">Table 3.2: Average </w:t>
      </w:r>
      <w:r w:rsidR="004F1AD9" w:rsidRPr="008444DD">
        <w:t>weekly local authority rents by UK r</w:t>
      </w:r>
      <w:r w:rsidRPr="008444DD">
        <w:t xml:space="preserve">egion 2004-05 to </w:t>
      </w:r>
      <w:r w:rsidR="00F4089B">
        <w:t>2025-26</w:t>
      </w:r>
    </w:p>
    <w:p w14:paraId="46C5DDD6" w14:textId="77777777" w:rsidR="00635A4A" w:rsidRPr="00635A4A" w:rsidRDefault="00635A4A" w:rsidP="00710FB9">
      <w:pPr>
        <w:spacing w:before="120" w:after="120"/>
        <w:jc w:val="both"/>
        <w:rPr>
          <w:rFonts w:ascii="Arial" w:hAnsi="Arial" w:cs="Arial"/>
          <w:b/>
          <w:i/>
          <w:color w:val="7030A0"/>
          <w:sz w:val="24"/>
          <w:szCs w:val="24"/>
          <w:u w:val="single"/>
        </w:rPr>
      </w:pPr>
      <w:bookmarkStart w:id="0" w:name="OLE_LINK4"/>
      <w:bookmarkStart w:id="1" w:name="OLE_LINK5"/>
      <w:r w:rsidRPr="00635A4A">
        <w:rPr>
          <w:rFonts w:ascii="Arial" w:hAnsi="Arial" w:cs="Arial"/>
          <w:b/>
          <w:i/>
          <w:color w:val="7030A0"/>
          <w:sz w:val="24"/>
          <w:szCs w:val="24"/>
          <w:u w:val="single"/>
        </w:rPr>
        <w:t>England &amp; UK</w:t>
      </w:r>
    </w:p>
    <w:bookmarkEnd w:id="0"/>
    <w:bookmarkEnd w:id="1"/>
    <w:p w14:paraId="2FDC273F" w14:textId="56673728" w:rsidR="00635A4A" w:rsidRDefault="00635A4A" w:rsidP="00710FB9">
      <w:pPr>
        <w:spacing w:before="120" w:after="120"/>
        <w:jc w:val="both"/>
        <w:rPr>
          <w:rFonts w:ascii="Arial" w:hAnsi="Arial" w:cs="Arial"/>
        </w:rPr>
      </w:pPr>
      <w:r>
        <w:rPr>
          <w:rFonts w:ascii="Arial" w:hAnsi="Arial" w:cs="Arial"/>
        </w:rPr>
        <w:t xml:space="preserve">Average </w:t>
      </w:r>
      <w:r w:rsidR="00B4698F">
        <w:rPr>
          <w:rFonts w:ascii="Arial" w:hAnsi="Arial" w:cs="Arial"/>
        </w:rPr>
        <w:t xml:space="preserve">local authority rents </w:t>
      </w:r>
      <w:r>
        <w:rPr>
          <w:rFonts w:ascii="Arial" w:hAnsi="Arial" w:cs="Arial"/>
        </w:rPr>
        <w:t xml:space="preserve">for England are produced by the </w:t>
      </w:r>
      <w:bookmarkStart w:id="2" w:name="OLE_LINK6"/>
      <w:bookmarkStart w:id="3" w:name="OLE_LINK7"/>
      <w:r w:rsidR="00A2606C">
        <w:rPr>
          <w:rFonts w:ascii="Arial" w:hAnsi="Arial" w:cs="Arial"/>
        </w:rPr>
        <w:t xml:space="preserve">Ministry of Housing, Communities and Local Government (MHCLG). </w:t>
      </w:r>
      <w:r>
        <w:rPr>
          <w:rFonts w:ascii="Arial" w:hAnsi="Arial" w:cs="Arial"/>
        </w:rPr>
        <w:t>Further information is available at the following link:</w:t>
      </w:r>
    </w:p>
    <w:bookmarkEnd w:id="2"/>
    <w:bookmarkEnd w:id="3"/>
    <w:p w14:paraId="2BDA60D3" w14:textId="3A6E3657" w:rsidR="00F73003" w:rsidRDefault="001B206B" w:rsidP="00710FB9">
      <w:pPr>
        <w:spacing w:before="120" w:after="120"/>
        <w:jc w:val="both"/>
        <w:rPr>
          <w:rFonts w:ascii="Arial" w:hAnsi="Arial" w:cs="Arial"/>
        </w:rPr>
      </w:pPr>
      <w:r w:rsidRPr="001B206B">
        <w:rPr>
          <w:rFonts w:ascii="Arial" w:hAnsi="Arial" w:cs="Arial"/>
        </w:rPr>
        <w:lastRenderedPageBreak/>
        <w:fldChar w:fldCharType="begin"/>
      </w:r>
      <w:r>
        <w:rPr>
          <w:rFonts w:ascii="Arial" w:hAnsi="Arial" w:cs="Arial"/>
        </w:rPr>
        <w:instrText>HYPERLINK "https://www.gov.uk/government/statistics/social-housing-lettings-in-england-april-2024-to-march-2025/social-housing-lettings-in-england-tenancies-april-2024-to-march-2025"</w:instrText>
      </w:r>
      <w:r w:rsidRPr="001B206B">
        <w:rPr>
          <w:rFonts w:ascii="Arial" w:hAnsi="Arial" w:cs="Arial"/>
        </w:rPr>
      </w:r>
      <w:r w:rsidRPr="001B206B">
        <w:rPr>
          <w:rFonts w:ascii="Arial" w:hAnsi="Arial" w:cs="Arial"/>
        </w:rPr>
        <w:fldChar w:fldCharType="separate"/>
      </w:r>
      <w:r>
        <w:rPr>
          <w:rStyle w:val="Hyperlink"/>
          <w:rFonts w:ascii="Arial" w:hAnsi="Arial" w:cs="Arial"/>
        </w:rPr>
        <w:t>Social housing lettings in England, tenancies - GOV.UK</w:t>
      </w:r>
      <w:r w:rsidRPr="001B206B">
        <w:rPr>
          <w:rFonts w:ascii="Arial" w:hAnsi="Arial" w:cs="Arial"/>
        </w:rPr>
        <w:fldChar w:fldCharType="end"/>
      </w:r>
    </w:p>
    <w:p w14:paraId="73C13652" w14:textId="77777777" w:rsidR="00635A4A" w:rsidRDefault="00F73003" w:rsidP="00710FB9">
      <w:pPr>
        <w:spacing w:before="120" w:after="120"/>
        <w:jc w:val="both"/>
        <w:rPr>
          <w:rFonts w:ascii="Arial" w:hAnsi="Arial" w:cs="Arial"/>
        </w:rPr>
      </w:pPr>
      <w:r>
        <w:rPr>
          <w:rFonts w:ascii="Arial" w:hAnsi="Arial" w:cs="Arial"/>
        </w:rPr>
        <w:t xml:space="preserve">Table 701 which was previously used to present the </w:t>
      </w:r>
      <w:r w:rsidR="00B4698F">
        <w:rPr>
          <w:rFonts w:ascii="Arial" w:hAnsi="Arial" w:cs="Arial"/>
        </w:rPr>
        <w:t xml:space="preserve">average weekly local authority rent </w:t>
      </w:r>
      <w:r w:rsidR="00902165">
        <w:rPr>
          <w:rFonts w:ascii="Arial" w:hAnsi="Arial" w:cs="Arial"/>
        </w:rPr>
        <w:t>for</w:t>
      </w:r>
      <w:r>
        <w:rPr>
          <w:rFonts w:ascii="Arial" w:hAnsi="Arial" w:cs="Arial"/>
        </w:rPr>
        <w:t xml:space="preserve"> the United Kingdom has now been discon</w:t>
      </w:r>
      <w:r w:rsidR="00902165">
        <w:rPr>
          <w:rFonts w:ascii="Arial" w:hAnsi="Arial" w:cs="Arial"/>
        </w:rPr>
        <w:t>tinued. The last available year</w:t>
      </w:r>
      <w:r>
        <w:rPr>
          <w:rFonts w:ascii="Arial" w:hAnsi="Arial" w:cs="Arial"/>
        </w:rPr>
        <w:t xml:space="preserve"> is 2015-16.</w:t>
      </w:r>
      <w:r w:rsidR="00603C58">
        <w:rPr>
          <w:rFonts w:ascii="Arial" w:hAnsi="Arial" w:cs="Arial"/>
        </w:rPr>
        <w:t xml:space="preserve"> </w:t>
      </w:r>
    </w:p>
    <w:p w14:paraId="564DE66B" w14:textId="77777777" w:rsidR="00635A4A" w:rsidRPr="00635A4A" w:rsidRDefault="00635A4A" w:rsidP="00710FB9">
      <w:pPr>
        <w:spacing w:before="120" w:after="120"/>
        <w:jc w:val="both"/>
        <w:rPr>
          <w:rFonts w:ascii="Arial" w:hAnsi="Arial" w:cs="Arial"/>
          <w:b/>
          <w:i/>
          <w:color w:val="7030A0"/>
          <w:sz w:val="24"/>
          <w:szCs w:val="24"/>
          <w:u w:val="single"/>
        </w:rPr>
      </w:pPr>
      <w:r w:rsidRPr="00635A4A">
        <w:rPr>
          <w:rFonts w:ascii="Arial" w:hAnsi="Arial" w:cs="Arial"/>
          <w:b/>
          <w:i/>
          <w:color w:val="7030A0"/>
          <w:sz w:val="24"/>
          <w:szCs w:val="24"/>
          <w:u w:val="single"/>
        </w:rPr>
        <w:t>Scotland</w:t>
      </w:r>
    </w:p>
    <w:p w14:paraId="058D6FD1" w14:textId="77777777" w:rsidR="00635A4A" w:rsidRDefault="00635A4A" w:rsidP="00710FB9">
      <w:pPr>
        <w:spacing w:before="120" w:after="120"/>
        <w:jc w:val="both"/>
        <w:rPr>
          <w:rFonts w:ascii="Arial" w:hAnsi="Arial" w:cs="Arial"/>
        </w:rPr>
      </w:pPr>
      <w:r>
        <w:rPr>
          <w:rFonts w:ascii="Arial" w:hAnsi="Arial" w:cs="Arial"/>
        </w:rPr>
        <w:t xml:space="preserve">Average </w:t>
      </w:r>
      <w:r w:rsidR="00B4698F">
        <w:rPr>
          <w:rFonts w:ascii="Arial" w:hAnsi="Arial" w:cs="Arial"/>
        </w:rPr>
        <w:t>local authority rents for</w:t>
      </w:r>
      <w:r>
        <w:rPr>
          <w:rFonts w:ascii="Arial" w:hAnsi="Arial" w:cs="Arial"/>
        </w:rPr>
        <w:t xml:space="preserve"> Scotland are included within the ‘Housing Revenue Account’ statistics. Further information is available at the following link:</w:t>
      </w:r>
    </w:p>
    <w:p w14:paraId="731BAAC4" w14:textId="77777777" w:rsidR="00F555C0" w:rsidRPr="00F555C0" w:rsidRDefault="00F555C0" w:rsidP="00710FB9">
      <w:pPr>
        <w:spacing w:before="120" w:after="120"/>
        <w:jc w:val="both"/>
        <w:rPr>
          <w:rFonts w:ascii="Arial" w:hAnsi="Arial" w:cs="Arial"/>
        </w:rPr>
      </w:pPr>
      <w:hyperlink r:id="rId7" w:history="1">
        <w:r w:rsidRPr="00F555C0">
          <w:rPr>
            <w:rStyle w:val="Hyperlink"/>
            <w:rFonts w:ascii="Arial" w:hAnsi="Arial" w:cs="Arial"/>
          </w:rPr>
          <w:t>Housing revenue account statistics - gov.scot (www.gov.scot)</w:t>
        </w:r>
      </w:hyperlink>
    </w:p>
    <w:p w14:paraId="74881C1C" w14:textId="77777777" w:rsidR="00F4089B" w:rsidRDefault="00F4089B" w:rsidP="00F4089B">
      <w:pPr>
        <w:spacing w:before="120" w:after="120"/>
        <w:jc w:val="both"/>
        <w:rPr>
          <w:rFonts w:ascii="Arial" w:hAnsi="Arial" w:cs="Arial"/>
          <w:b/>
          <w:i/>
          <w:color w:val="7030A0"/>
          <w:sz w:val="24"/>
          <w:szCs w:val="24"/>
          <w:u w:val="single"/>
        </w:rPr>
      </w:pPr>
      <w:r>
        <w:rPr>
          <w:rFonts w:ascii="Arial" w:hAnsi="Arial" w:cs="Arial"/>
          <w:b/>
          <w:i/>
          <w:color w:val="7030A0"/>
          <w:sz w:val="24"/>
          <w:szCs w:val="24"/>
          <w:u w:val="single"/>
        </w:rPr>
        <w:t>Wales</w:t>
      </w:r>
    </w:p>
    <w:p w14:paraId="24AB61E6" w14:textId="77777777" w:rsidR="00F4089B" w:rsidRDefault="00F4089B" w:rsidP="00F4089B">
      <w:pPr>
        <w:pStyle w:val="PlainText"/>
        <w:spacing w:before="120" w:after="120" w:line="251" w:lineRule="auto"/>
        <w:jc w:val="both"/>
      </w:pPr>
      <w:r>
        <w:rPr>
          <w:rFonts w:ascii="Arial" w:hAnsi="Arial" w:cs="Arial"/>
          <w:b/>
          <w:bCs/>
          <w:color w:val="7030A0"/>
          <w:sz w:val="24"/>
          <w:szCs w:val="24"/>
        </w:rPr>
        <w:t>Description of the data</w:t>
      </w:r>
    </w:p>
    <w:p w14:paraId="5DD7749E" w14:textId="77777777" w:rsidR="00F4089B" w:rsidRDefault="00F4089B" w:rsidP="00F4089B">
      <w:pPr>
        <w:pStyle w:val="PlainText"/>
        <w:spacing w:before="120" w:after="120" w:line="251" w:lineRule="auto"/>
        <w:jc w:val="both"/>
        <w:rPr>
          <w:rFonts w:ascii="Arial" w:hAnsi="Arial" w:cs="Arial"/>
          <w:color w:val="000000"/>
        </w:rPr>
      </w:pPr>
      <w:r w:rsidRPr="003C6A2C">
        <w:rPr>
          <w:rFonts w:ascii="Arial" w:hAnsi="Arial" w:cs="Arial"/>
          <w:color w:val="000000"/>
        </w:rPr>
        <w:t xml:space="preserve">The information presented </w:t>
      </w:r>
      <w:r>
        <w:rPr>
          <w:rFonts w:ascii="Arial" w:hAnsi="Arial" w:cs="Arial"/>
          <w:color w:val="000000"/>
        </w:rPr>
        <w:t>by Welsh Government</w:t>
      </w:r>
      <w:r w:rsidRPr="003C6A2C">
        <w:rPr>
          <w:rFonts w:ascii="Arial" w:hAnsi="Arial" w:cs="Arial"/>
          <w:color w:val="000000"/>
        </w:rPr>
        <w:t xml:space="preserve"> is collected via annual returns from Welsh social landlords on stock held by local authorities and registered social landlords (RSLs) as at 31 March each year</w:t>
      </w:r>
      <w:r>
        <w:rPr>
          <w:rFonts w:ascii="Arial" w:hAnsi="Arial" w:cs="Arial"/>
          <w:color w:val="000000"/>
        </w:rPr>
        <w:t>. Further information can be accessed with the following link:</w:t>
      </w:r>
    </w:p>
    <w:p w14:paraId="2DA1B6DA" w14:textId="77777777" w:rsidR="00F4089B" w:rsidRDefault="00F4089B" w:rsidP="00F4089B">
      <w:pPr>
        <w:pStyle w:val="PlainText"/>
        <w:spacing w:before="120" w:after="120" w:line="251" w:lineRule="auto"/>
        <w:jc w:val="both"/>
      </w:pPr>
      <w:hyperlink r:id="rId8" w:anchor="132478" w:history="1">
        <w:r>
          <w:rPr>
            <w:rStyle w:val="Hyperlink"/>
            <w:rFonts w:ascii="Arial" w:hAnsi="Arial" w:cs="Arial"/>
          </w:rPr>
          <w:t>Social landlord housing stock and rents: quality report | GOV.WALES</w:t>
        </w:r>
      </w:hyperlink>
    </w:p>
    <w:p w14:paraId="2FF0A0CA" w14:textId="696A2256" w:rsidR="00F4089B" w:rsidRDefault="00F4089B" w:rsidP="00F4089B">
      <w:pPr>
        <w:pStyle w:val="PlainText"/>
        <w:spacing w:before="120" w:after="120" w:line="251" w:lineRule="auto"/>
        <w:jc w:val="both"/>
        <w:rPr>
          <w:rFonts w:ascii="Arial" w:hAnsi="Arial" w:cs="Arial"/>
          <w:color w:val="000000"/>
        </w:rPr>
      </w:pPr>
      <w:r w:rsidRPr="002463D7">
        <w:rPr>
          <w:rFonts w:ascii="Arial" w:hAnsi="Arial" w:cs="Arial"/>
          <w:color w:val="000000"/>
        </w:rPr>
        <w:t xml:space="preserve">The information is collected via annual returns from Welsh social landlords (local authorities and registered social landlords) on the stock they held as at 31 March each year. The collection also requests the average rents for each category of stock by each provider, set for the following financial year on the same 31 March date. </w:t>
      </w:r>
      <w:r>
        <w:rPr>
          <w:rFonts w:ascii="Arial" w:hAnsi="Arial" w:cs="Arial"/>
          <w:color w:val="000000"/>
        </w:rPr>
        <w:t xml:space="preserve">The latest data presents rent prices for the financial year </w:t>
      </w:r>
      <w:r w:rsidR="001B206B">
        <w:rPr>
          <w:rFonts w:ascii="Arial" w:hAnsi="Arial" w:cs="Arial"/>
          <w:color w:val="000000"/>
        </w:rPr>
        <w:t xml:space="preserve">2025 to 2026. </w:t>
      </w:r>
    </w:p>
    <w:p w14:paraId="3D5525D2" w14:textId="77777777" w:rsidR="00F4089B" w:rsidRDefault="00F4089B" w:rsidP="00F4089B">
      <w:pPr>
        <w:pStyle w:val="PlainText"/>
        <w:spacing w:before="120" w:after="120" w:line="251" w:lineRule="auto"/>
        <w:jc w:val="both"/>
        <w:rPr>
          <w:rFonts w:ascii="Arial" w:hAnsi="Arial" w:cs="Arial"/>
          <w:color w:val="000000"/>
        </w:rPr>
      </w:pPr>
      <w:r w:rsidRPr="002463D7">
        <w:rPr>
          <w:rFonts w:ascii="Arial" w:hAnsi="Arial" w:cs="Arial"/>
          <w:color w:val="000000"/>
        </w:rPr>
        <w:t>The data are requested with a breakdown between general needs, sheltered, other supported and extra care accommodation types, with a split into non self-contained and self-contained units, and further splits of the self-contained units into data by numbers of bedrooms for both houses (including bungalows) and flats (including maisonettes). Further information on stock held by these</w:t>
      </w:r>
      <w:r>
        <w:rPr>
          <w:rFonts w:ascii="Arial" w:hAnsi="Arial" w:cs="Arial"/>
          <w:color w:val="000000"/>
        </w:rPr>
        <w:t xml:space="preserve"> </w:t>
      </w:r>
      <w:r w:rsidRPr="002463D7">
        <w:rPr>
          <w:rFonts w:ascii="Arial" w:hAnsi="Arial" w:cs="Arial"/>
          <w:color w:val="000000"/>
        </w:rPr>
        <w:t>organisation</w:t>
      </w:r>
      <w:r>
        <w:rPr>
          <w:rFonts w:ascii="Arial" w:hAnsi="Arial" w:cs="Arial"/>
          <w:color w:val="000000"/>
        </w:rPr>
        <w:t>s</w:t>
      </w:r>
      <w:r w:rsidRPr="002463D7">
        <w:rPr>
          <w:rFonts w:ascii="Arial" w:hAnsi="Arial" w:cs="Arial"/>
          <w:color w:val="000000"/>
        </w:rPr>
        <w:t xml:space="preserve"> but not available at social rents is also collected. Numbers for Wales are derived by summing the stock across all the providers, with rent averages calculated by weighting the individual rent figures by the respect stock in each cell of the data.</w:t>
      </w:r>
    </w:p>
    <w:p w14:paraId="0698CB39" w14:textId="77777777" w:rsidR="00F4089B" w:rsidRDefault="00F4089B" w:rsidP="00F4089B">
      <w:pPr>
        <w:pStyle w:val="PlainText"/>
        <w:spacing w:before="120" w:after="120" w:line="251" w:lineRule="auto"/>
        <w:jc w:val="both"/>
      </w:pPr>
      <w:r>
        <w:rPr>
          <w:rFonts w:ascii="Arial" w:hAnsi="Arial" w:cs="Arial"/>
          <w:b/>
          <w:bCs/>
          <w:color w:val="7030A0"/>
          <w:sz w:val="24"/>
          <w:szCs w:val="24"/>
        </w:rPr>
        <w:t>Data Quality</w:t>
      </w:r>
    </w:p>
    <w:p w14:paraId="2EB90CB2" w14:textId="77777777" w:rsidR="00F4089B" w:rsidRDefault="00F4089B" w:rsidP="00F4089B">
      <w:pPr>
        <w:pStyle w:val="PlainText"/>
        <w:tabs>
          <w:tab w:val="left" w:pos="1440"/>
        </w:tabs>
        <w:spacing w:before="120" w:after="120" w:line="251" w:lineRule="auto"/>
        <w:jc w:val="both"/>
        <w:rPr>
          <w:rFonts w:ascii="Arial" w:hAnsi="Arial" w:cs="Arial"/>
          <w:i/>
          <w:iCs/>
          <w:color w:val="7030A0"/>
          <w:sz w:val="24"/>
          <w:szCs w:val="24"/>
        </w:rPr>
      </w:pPr>
      <w:r>
        <w:rPr>
          <w:rFonts w:ascii="Arial" w:hAnsi="Arial" w:cs="Arial"/>
          <w:i/>
          <w:iCs/>
          <w:color w:val="7030A0"/>
          <w:sz w:val="24"/>
          <w:szCs w:val="24"/>
        </w:rPr>
        <w:t>Relevance</w:t>
      </w:r>
    </w:p>
    <w:p w14:paraId="0C28CAFB" w14:textId="77777777" w:rsidR="00F4089B" w:rsidRDefault="00F4089B" w:rsidP="00F4089B">
      <w:pPr>
        <w:autoSpaceDE w:val="0"/>
        <w:spacing w:before="120" w:after="120"/>
        <w:jc w:val="both"/>
      </w:pPr>
      <w:r>
        <w:rPr>
          <w:rFonts w:ascii="Arial" w:hAnsi="Arial" w:cs="Arial"/>
          <w:color w:val="000000"/>
        </w:rPr>
        <w:t>The data provides information on the average actual weekly rent per dwelling for individual local authorities as well as Welsh RSLs. The information is used by the Welsh Government to gauge how average weekly rents charged by those local authorities who still retain stock vary by property type and over time.</w:t>
      </w:r>
    </w:p>
    <w:p w14:paraId="13FFA925" w14:textId="77777777" w:rsidR="00F4089B" w:rsidRDefault="00F4089B" w:rsidP="00F4089B">
      <w:pPr>
        <w:autoSpaceDE w:val="0"/>
        <w:spacing w:before="120" w:after="120"/>
        <w:jc w:val="both"/>
        <w:rPr>
          <w:rFonts w:ascii="Arial" w:hAnsi="Arial" w:cs="Arial"/>
          <w:i/>
          <w:iCs/>
          <w:color w:val="7030A0"/>
          <w:sz w:val="24"/>
          <w:szCs w:val="24"/>
        </w:rPr>
      </w:pPr>
      <w:r>
        <w:rPr>
          <w:rFonts w:ascii="Arial" w:hAnsi="Arial" w:cs="Arial"/>
          <w:i/>
          <w:iCs/>
          <w:color w:val="7030A0"/>
          <w:sz w:val="24"/>
          <w:szCs w:val="24"/>
        </w:rPr>
        <w:t>Accessibility and Clarity</w:t>
      </w:r>
    </w:p>
    <w:p w14:paraId="5208BF7D" w14:textId="77777777" w:rsidR="00F4089B" w:rsidRDefault="00F4089B" w:rsidP="00F4089B">
      <w:pPr>
        <w:pStyle w:val="SDBodyText"/>
        <w:spacing w:before="120" w:after="120" w:line="251" w:lineRule="auto"/>
        <w:jc w:val="both"/>
        <w:rPr>
          <w:rFonts w:ascii="Arial" w:hAnsi="Arial" w:cs="Arial"/>
          <w:color w:val="000000"/>
          <w:szCs w:val="22"/>
        </w:rPr>
      </w:pPr>
      <w:r w:rsidRPr="00880F22">
        <w:rPr>
          <w:rFonts w:ascii="Arial" w:hAnsi="Arial" w:cs="Arial"/>
          <w:color w:val="000000"/>
          <w:szCs w:val="22"/>
          <w:lang w:val="en-GB"/>
        </w:rPr>
        <w:t xml:space="preserve">Data </w:t>
      </w:r>
      <w:r>
        <w:rPr>
          <w:rFonts w:ascii="Arial" w:hAnsi="Arial" w:cs="Arial"/>
          <w:color w:val="000000"/>
          <w:szCs w:val="22"/>
          <w:lang w:val="en-GB"/>
        </w:rPr>
        <w:t>is</w:t>
      </w:r>
      <w:r w:rsidRPr="00880F22">
        <w:rPr>
          <w:rFonts w:ascii="Arial" w:hAnsi="Arial" w:cs="Arial"/>
          <w:color w:val="000000"/>
          <w:szCs w:val="22"/>
          <w:lang w:val="en-GB"/>
        </w:rPr>
        <w:t xml:space="preserve"> collected from local authorities and registered social landlords via Excel spreadsheets. These are downloaded from the Objective Connect file transfer website which provides a secure method for users to submit data. The spreadsheets allow respondents to validate the data before submitting to the Welsh Government. Respondents are also given an opportunity to include contextual information where large changes have occurred (e.g. data items changing by more than 10% compared to the previous year). This enables some data cleansing at source and minimises follow up queries.</w:t>
      </w:r>
      <w:r>
        <w:rPr>
          <w:rFonts w:ascii="Arial" w:hAnsi="Arial" w:cs="Arial"/>
          <w:color w:val="000000"/>
          <w:szCs w:val="22"/>
        </w:rPr>
        <w:t>Further information is available from the Welsh Government statistics web site:</w:t>
      </w:r>
    </w:p>
    <w:p w14:paraId="34A71074" w14:textId="77777777" w:rsidR="00F4089B" w:rsidRDefault="00F4089B" w:rsidP="00F4089B">
      <w:pPr>
        <w:pStyle w:val="SDBodyText"/>
        <w:spacing w:before="120" w:after="120" w:line="251" w:lineRule="auto"/>
        <w:jc w:val="both"/>
      </w:pPr>
      <w:hyperlink r:id="rId9" w:history="1">
        <w:r>
          <w:rPr>
            <w:rStyle w:val="Hyperlink"/>
            <w:rFonts w:ascii="Arial" w:eastAsiaTheme="majorEastAsia" w:hAnsi="Arial" w:cs="Arial"/>
            <w:szCs w:val="22"/>
          </w:rPr>
          <w:t>Housin</w:t>
        </w:r>
        <w:bookmarkStart w:id="4" w:name="_Hlt200721829"/>
        <w:bookmarkStart w:id="5" w:name="_Hlt200721830"/>
        <w:r>
          <w:rPr>
            <w:rStyle w:val="Hyperlink"/>
            <w:rFonts w:ascii="Arial" w:eastAsiaTheme="majorEastAsia" w:hAnsi="Arial" w:cs="Arial"/>
            <w:szCs w:val="22"/>
          </w:rPr>
          <w:t>g</w:t>
        </w:r>
        <w:bookmarkEnd w:id="4"/>
        <w:bookmarkEnd w:id="5"/>
        <w:r>
          <w:rPr>
            <w:rStyle w:val="Hyperlink"/>
            <w:rFonts w:ascii="Arial" w:eastAsiaTheme="majorEastAsia" w:hAnsi="Arial" w:cs="Arial"/>
            <w:szCs w:val="22"/>
          </w:rPr>
          <w:t xml:space="preserve"> Stock and Rents</w:t>
        </w:r>
      </w:hyperlink>
      <w:r>
        <w:rPr>
          <w:rFonts w:ascii="Arial" w:hAnsi="Arial" w:cs="Arial"/>
          <w:color w:val="000000"/>
          <w:szCs w:val="22"/>
        </w:rPr>
        <w:t xml:space="preserve"> </w:t>
      </w:r>
    </w:p>
    <w:p w14:paraId="082EF727" w14:textId="77777777" w:rsidR="00F4089B" w:rsidRDefault="00F4089B" w:rsidP="00F4089B">
      <w:pPr>
        <w:pStyle w:val="SDBodyText"/>
        <w:spacing w:before="120" w:after="120" w:line="251" w:lineRule="auto"/>
        <w:jc w:val="both"/>
      </w:pPr>
      <w:r>
        <w:rPr>
          <w:rFonts w:ascii="Arial" w:hAnsi="Arial" w:cs="Arial"/>
          <w:color w:val="000000"/>
          <w:szCs w:val="22"/>
        </w:rPr>
        <w:t xml:space="preserve">More detailed data are available on the StatsWales website: </w:t>
      </w:r>
      <w:hyperlink r:id="rId10" w:history="1">
        <w:r>
          <w:rPr>
            <w:rStyle w:val="Hyperlink"/>
            <w:rFonts w:ascii="Arial" w:eastAsiaTheme="majorEastAsia" w:hAnsi="Arial" w:cs="Arial"/>
            <w:szCs w:val="22"/>
          </w:rPr>
          <w:t>Social Housing</w:t>
        </w:r>
      </w:hyperlink>
      <w:r>
        <w:rPr>
          <w:rFonts w:ascii="Arial" w:hAnsi="Arial" w:cs="Arial"/>
          <w:color w:val="000000"/>
          <w:szCs w:val="22"/>
        </w:rPr>
        <w:t xml:space="preserve"> </w:t>
      </w:r>
    </w:p>
    <w:p w14:paraId="0CCC51D0" w14:textId="77777777" w:rsidR="00F4089B" w:rsidRDefault="00F4089B" w:rsidP="00F4089B">
      <w:pPr>
        <w:autoSpaceDE w:val="0"/>
        <w:spacing w:before="120" w:after="120"/>
        <w:jc w:val="both"/>
        <w:rPr>
          <w:rFonts w:ascii="Arial" w:hAnsi="Arial" w:cs="Arial"/>
          <w:i/>
          <w:iCs/>
          <w:color w:val="7030A0"/>
          <w:sz w:val="24"/>
          <w:szCs w:val="24"/>
        </w:rPr>
      </w:pPr>
      <w:r>
        <w:rPr>
          <w:rFonts w:ascii="Arial" w:hAnsi="Arial" w:cs="Arial"/>
          <w:i/>
          <w:iCs/>
          <w:color w:val="7030A0"/>
          <w:sz w:val="24"/>
          <w:szCs w:val="24"/>
        </w:rPr>
        <w:t>Accuracy</w:t>
      </w:r>
    </w:p>
    <w:p w14:paraId="156B4659" w14:textId="77777777" w:rsidR="00F4089B" w:rsidRDefault="00F4089B" w:rsidP="00F4089B">
      <w:pPr>
        <w:pStyle w:val="PlainText"/>
        <w:spacing w:before="120" w:after="120" w:line="251" w:lineRule="auto"/>
        <w:jc w:val="both"/>
        <w:rPr>
          <w:rFonts w:ascii="Arial" w:hAnsi="Arial" w:cs="Arial"/>
        </w:rPr>
      </w:pPr>
      <w:r>
        <w:rPr>
          <w:rFonts w:ascii="Arial" w:hAnsi="Arial" w:cs="Arial"/>
        </w:rPr>
        <w:lastRenderedPageBreak/>
        <w:t xml:space="preserve">Prior to 2015-16, HRAS forms were issued with an inbuilt validation system. Forms were also checked when returned to the Welsh Government before settlements were calculated. The annual audit final was audited by external auditors. There may be differences between the data provided in the 1st, 2nd, advance final and audit final versions. </w:t>
      </w:r>
    </w:p>
    <w:p w14:paraId="4F767722" w14:textId="77777777" w:rsidR="00F4089B" w:rsidRDefault="00F4089B" w:rsidP="00F4089B">
      <w:pPr>
        <w:pStyle w:val="PlainText"/>
        <w:spacing w:before="120" w:after="120" w:line="251" w:lineRule="auto"/>
        <w:jc w:val="both"/>
        <w:rPr>
          <w:rFonts w:ascii="Arial" w:hAnsi="Arial" w:cs="Arial"/>
        </w:rPr>
      </w:pPr>
      <w:r>
        <w:rPr>
          <w:rFonts w:ascii="Arial" w:hAnsi="Arial" w:cs="Arial"/>
        </w:rPr>
        <w:t xml:space="preserve">From 2015-16 onwards, local authorities have completed data collection forms with built in guidance and primary validation. </w:t>
      </w:r>
      <w:r w:rsidRPr="00827960">
        <w:rPr>
          <w:rFonts w:ascii="Arial" w:hAnsi="Arial" w:cs="Arial"/>
        </w:rPr>
        <w:t>On receipt of the </w:t>
      </w:r>
      <w:hyperlink r:id="rId11" w:history="1">
        <w:r w:rsidRPr="00827960">
          <w:rPr>
            <w:rStyle w:val="Hyperlink"/>
            <w:rFonts w:ascii="Arial" w:hAnsi="Arial" w:cs="Arial"/>
            <w:b/>
            <w:bCs/>
          </w:rPr>
          <w:t>data collection forms</w:t>
        </w:r>
      </w:hyperlink>
      <w:r w:rsidRPr="00827960">
        <w:rPr>
          <w:rFonts w:ascii="Arial" w:hAnsi="Arial" w:cs="Arial"/>
        </w:rPr>
        <w:t xml:space="preserve">, the data collection team carried out secondary validation and worked closely with the different providers to ensure information provided was accurate and on a consistent basis. They check that the data is consistent with the number of new build units and sales reported during the past year and resolve any queries with landlords. </w:t>
      </w:r>
    </w:p>
    <w:p w14:paraId="0EC5330A" w14:textId="77777777" w:rsidR="00F4089B" w:rsidRDefault="00F4089B" w:rsidP="00F4089B">
      <w:pPr>
        <w:pStyle w:val="PlainText"/>
        <w:spacing w:before="120" w:after="120" w:line="251" w:lineRule="auto"/>
        <w:jc w:val="both"/>
      </w:pPr>
      <w:r w:rsidRPr="00827960">
        <w:rPr>
          <w:rFonts w:ascii="Arial" w:hAnsi="Arial" w:cs="Arial"/>
        </w:rPr>
        <w:t>Next, they compare the data provided by local authorities and registered social landlords with their previous year’s data. Where these figures are not consistent, they work with the data providers to ensure the final data recorded is consistent.</w:t>
      </w:r>
      <w:r>
        <w:rPr>
          <w:rFonts w:ascii="Arial" w:hAnsi="Arial" w:cs="Arial"/>
        </w:rPr>
        <w:t xml:space="preserve"> Copies of the </w:t>
      </w:r>
      <w:hyperlink r:id="rId12" w:history="1">
        <w:r>
          <w:rPr>
            <w:rStyle w:val="Hyperlink"/>
            <w:rFonts w:ascii="Arial" w:hAnsi="Arial" w:cs="Arial"/>
          </w:rPr>
          <w:t>data collection</w:t>
        </w:r>
      </w:hyperlink>
      <w:r>
        <w:rPr>
          <w:rFonts w:ascii="Arial" w:hAnsi="Arial" w:cs="Arial"/>
        </w:rPr>
        <w:t xml:space="preserve"> forms can be found on the website: </w:t>
      </w:r>
    </w:p>
    <w:p w14:paraId="3E43B863" w14:textId="77777777" w:rsidR="00F4089B" w:rsidRDefault="00F4089B" w:rsidP="00F4089B">
      <w:pPr>
        <w:pStyle w:val="PlainText"/>
        <w:spacing w:before="120" w:after="120" w:line="251" w:lineRule="auto"/>
        <w:jc w:val="both"/>
        <w:rPr>
          <w:rFonts w:ascii="Arial" w:hAnsi="Arial" w:cs="Arial"/>
        </w:rPr>
      </w:pPr>
      <w:r>
        <w:rPr>
          <w:rFonts w:ascii="Arial" w:hAnsi="Arial" w:cs="Arial"/>
        </w:rPr>
        <w:t>Respondents are also given an opportunity to include contextual information where large changes have occurred (e.g. data items changing by more than 10% compared to the previous year). This enables some data cleansing at source and minimises follow up queries.</w:t>
      </w:r>
    </w:p>
    <w:p w14:paraId="470578D1" w14:textId="77777777" w:rsidR="00F4089B" w:rsidRDefault="00F4089B" w:rsidP="00F4089B">
      <w:pPr>
        <w:pStyle w:val="PlainText"/>
        <w:spacing w:before="120" w:after="120" w:line="251" w:lineRule="auto"/>
        <w:jc w:val="both"/>
      </w:pPr>
      <w:r>
        <w:rPr>
          <w:rFonts w:ascii="Arial" w:hAnsi="Arial" w:cs="Arial"/>
          <w:i/>
          <w:iCs/>
          <w:color w:val="7030A0"/>
          <w:sz w:val="24"/>
          <w:szCs w:val="24"/>
        </w:rPr>
        <w:t>Timeliness</w:t>
      </w:r>
    </w:p>
    <w:p w14:paraId="37F8D560" w14:textId="77777777" w:rsidR="00F4089B" w:rsidRDefault="00F4089B" w:rsidP="00F4089B">
      <w:pPr>
        <w:pStyle w:val="PlainText"/>
        <w:spacing w:before="120" w:after="120" w:line="251" w:lineRule="auto"/>
        <w:jc w:val="both"/>
        <w:rPr>
          <w:rFonts w:ascii="Arial" w:hAnsi="Arial" w:cs="Arial"/>
          <w:iCs/>
        </w:rPr>
      </w:pPr>
      <w:r>
        <w:rPr>
          <w:rFonts w:ascii="Arial" w:hAnsi="Arial" w:cs="Arial"/>
          <w:iCs/>
        </w:rPr>
        <w:t>The data from the HRAS 2nd advance forms were made available annually with the validated data normally available in October each year. Data for 2015-16 onwards is collected and published in the summer of each year. The 2020-21 data collection was cancelled due to the coronavirus (COVID-19) pandemic. The most recent annual release (as at 31 July 2026) is available at the following link:</w:t>
      </w:r>
    </w:p>
    <w:p w14:paraId="601E897B" w14:textId="77777777" w:rsidR="00F4089B" w:rsidRDefault="00F4089B" w:rsidP="00F4089B">
      <w:pPr>
        <w:pStyle w:val="PlainText"/>
        <w:spacing w:before="120" w:after="120" w:line="251" w:lineRule="auto"/>
        <w:jc w:val="both"/>
      </w:pPr>
      <w:hyperlink r:id="rId13" w:history="1">
        <w:r>
          <w:rPr>
            <w:rStyle w:val="Hyperlink"/>
            <w:rFonts w:ascii="Arial" w:hAnsi="Arial" w:cs="Arial"/>
            <w:iCs/>
          </w:rPr>
          <w:t>Social Housing Stocks and Rents</w:t>
        </w:r>
      </w:hyperlink>
      <w:r>
        <w:rPr>
          <w:rFonts w:ascii="Arial" w:hAnsi="Arial" w:cs="Arial"/>
          <w:iCs/>
        </w:rPr>
        <w:t xml:space="preserve"> </w:t>
      </w:r>
    </w:p>
    <w:p w14:paraId="0E8D2A13" w14:textId="77777777" w:rsidR="00F4089B" w:rsidRDefault="00F4089B" w:rsidP="00F4089B">
      <w:pPr>
        <w:pStyle w:val="PlainText"/>
        <w:spacing w:before="120" w:after="120" w:line="251" w:lineRule="auto"/>
        <w:jc w:val="both"/>
        <w:rPr>
          <w:rFonts w:ascii="Arial" w:hAnsi="Arial" w:cs="Arial"/>
          <w:iCs/>
        </w:rPr>
      </w:pPr>
      <w:r>
        <w:rPr>
          <w:rFonts w:ascii="Arial" w:hAnsi="Arial" w:cs="Arial"/>
          <w:iCs/>
        </w:rPr>
        <w:t>The full data set is available on the Welsh Government Stats Wales website at the following link:</w:t>
      </w:r>
    </w:p>
    <w:p w14:paraId="5893CE14" w14:textId="77777777" w:rsidR="00F4089B" w:rsidRDefault="00F4089B" w:rsidP="00F4089B">
      <w:pPr>
        <w:pStyle w:val="PlainText"/>
        <w:spacing w:before="120" w:after="120" w:line="251" w:lineRule="auto"/>
        <w:jc w:val="both"/>
        <w:rPr>
          <w:rFonts w:ascii="Arial" w:hAnsi="Arial" w:cs="Arial"/>
          <w:iCs/>
        </w:rPr>
      </w:pPr>
      <w:hyperlink r:id="rId14" w:history="1">
        <w:r>
          <w:rPr>
            <w:rStyle w:val="Hyperlink"/>
            <w:rFonts w:ascii="Arial" w:hAnsi="Arial" w:cs="Arial"/>
            <w:iCs/>
          </w:rPr>
          <w:t>Social Housing</w:t>
        </w:r>
      </w:hyperlink>
      <w:r>
        <w:rPr>
          <w:rFonts w:ascii="Arial" w:hAnsi="Arial" w:cs="Arial"/>
          <w:iCs/>
        </w:rPr>
        <w:t xml:space="preserve"> </w:t>
      </w:r>
    </w:p>
    <w:p w14:paraId="7BC6601A" w14:textId="77777777" w:rsidR="00F4089B" w:rsidRDefault="00F4089B" w:rsidP="00F4089B">
      <w:pPr>
        <w:spacing w:before="120" w:after="120"/>
        <w:jc w:val="both"/>
        <w:rPr>
          <w:rFonts w:ascii="Arial" w:hAnsi="Arial" w:cs="Arial"/>
          <w:i/>
          <w:iCs/>
          <w:color w:val="7030A0"/>
          <w:sz w:val="24"/>
          <w:szCs w:val="24"/>
        </w:rPr>
      </w:pPr>
      <w:r>
        <w:rPr>
          <w:rFonts w:ascii="Arial" w:hAnsi="Arial" w:cs="Arial"/>
          <w:i/>
          <w:iCs/>
          <w:color w:val="7030A0"/>
          <w:sz w:val="24"/>
          <w:szCs w:val="24"/>
        </w:rPr>
        <w:t>Coherence and Comparability</w:t>
      </w:r>
    </w:p>
    <w:p w14:paraId="27848C79" w14:textId="6143A965" w:rsidR="00F4089B" w:rsidRPr="00F4089B" w:rsidRDefault="00F4089B" w:rsidP="00F4089B">
      <w:pPr>
        <w:spacing w:before="120" w:after="120"/>
        <w:jc w:val="both"/>
        <w:rPr>
          <w:rFonts w:ascii="Arial" w:hAnsi="Arial" w:cs="Arial"/>
          <w:i/>
          <w:iCs/>
          <w:color w:val="7030A0"/>
          <w:sz w:val="24"/>
          <w:szCs w:val="24"/>
        </w:rPr>
      </w:pPr>
      <w:r>
        <w:rPr>
          <w:rFonts w:ascii="Arial" w:eastAsia="Aptos" w:hAnsi="Arial" w:cs="Arial"/>
        </w:rPr>
        <w:t xml:space="preserve">Estimates of dwelling stock by tenure are calculated annually by the Welsh Government. Estimates are based on data from the Census, local authorities and registered social landlords stock returns and the Annual Population Survey. For detailed methodology and quality information please see </w:t>
      </w:r>
      <w:hyperlink r:id="rId15" w:history="1">
        <w:r>
          <w:rPr>
            <w:rStyle w:val="cf01"/>
            <w:rFonts w:ascii="Arial" w:hAnsi="Arial" w:cs="Arial"/>
            <w:color w:val="0000FF"/>
            <w:sz w:val="22"/>
            <w:szCs w:val="22"/>
            <w:u w:val="single"/>
          </w:rPr>
          <w:t>Dwelling stock estimates | GOV.WALES</w:t>
        </w:r>
      </w:hyperlink>
      <w:r>
        <w:rPr>
          <w:rStyle w:val="cf01"/>
          <w:rFonts w:ascii="Arial" w:hAnsi="Arial" w:cs="Arial"/>
          <w:sz w:val="22"/>
          <w:szCs w:val="22"/>
        </w:rPr>
        <w:t>.</w:t>
      </w:r>
    </w:p>
    <w:p w14:paraId="230DCAB0" w14:textId="77777777" w:rsidR="00F4089B" w:rsidRDefault="00F4089B" w:rsidP="00F4089B">
      <w:r>
        <w:rPr>
          <w:rFonts w:ascii="Arial" w:hAnsi="Arial" w:cs="Arial"/>
        </w:rPr>
        <w:t xml:space="preserve">Dwelling stock estimates of local authority and registered social landlord stock differ slightly from </w:t>
      </w:r>
      <w:hyperlink r:id="rId16" w:history="1">
        <w:r>
          <w:rPr>
            <w:rStyle w:val="Hyperlink"/>
            <w:rFonts w:ascii="Arial" w:hAnsi="Arial" w:cs="Arial"/>
          </w:rPr>
          <w:t>Social housing stock and rents</w:t>
        </w:r>
      </w:hyperlink>
      <w:r>
        <w:rPr>
          <w:rFonts w:ascii="Arial" w:hAnsi="Arial" w:cs="Arial"/>
        </w:rPr>
        <w:t xml:space="preserve"> figures. For the purpose of estimating social housing dwelling stock, 3 non-self-contained units are considered to be equal to 1 dwelling. For social housing stock and rents, each non-self-contained bed space is counted as an individual housing unit. Estimates of social sector dwelling stock exclude intermediate and other tenures not at social rents. These dwellings are counted in the owner-occupied category. Information on the number of non-self-contained units for intermediate and other tenures is not available and therefore the same calculation cannot be applied.</w:t>
      </w:r>
    </w:p>
    <w:p w14:paraId="5F57C719" w14:textId="77777777" w:rsidR="00E953B8" w:rsidRDefault="00E953B8" w:rsidP="00E953B8">
      <w:pPr>
        <w:pStyle w:val="Heading3"/>
      </w:pPr>
      <w:r>
        <w:t>Table 3.3a: Housing associations: Average weekly rent (gross), collectable rental income and arrears 2001-02 to 2012-13</w:t>
      </w:r>
    </w:p>
    <w:p w14:paraId="457DE2F2" w14:textId="77777777" w:rsidR="00E953B8" w:rsidRDefault="00E953B8" w:rsidP="00E953B8">
      <w:pPr>
        <w:pStyle w:val="Heading4"/>
      </w:pPr>
      <w:r>
        <w:t>Table 3.3b: Housing associations: Average weekly rent (gross and net), collectable rental income and arrears 2010-11 to 2015-16</w:t>
      </w:r>
    </w:p>
    <w:p w14:paraId="09784817" w14:textId="19C978E5" w:rsidR="00E953B8" w:rsidRDefault="00E953B8" w:rsidP="00E953B8">
      <w:pPr>
        <w:pStyle w:val="Heading4"/>
      </w:pPr>
      <w:r>
        <w:lastRenderedPageBreak/>
        <w:t>Table 3.3c: Housing associations: Average weekly rent £: General Needs, excludes rates and includes service charges 2018-19 to 202</w:t>
      </w:r>
      <w:r w:rsidR="00F4089B">
        <w:t>3-24</w:t>
      </w:r>
    </w:p>
    <w:p w14:paraId="13A14B46" w14:textId="77777777" w:rsidR="00382971" w:rsidRPr="00382971" w:rsidRDefault="00382971" w:rsidP="00382971">
      <w:pPr>
        <w:pStyle w:val="PlainText"/>
        <w:spacing w:before="120" w:after="120" w:line="251" w:lineRule="auto"/>
        <w:jc w:val="both"/>
        <w:rPr>
          <w:sz w:val="24"/>
          <w:szCs w:val="24"/>
        </w:rPr>
      </w:pPr>
      <w:r w:rsidRPr="00382971">
        <w:rPr>
          <w:rFonts w:ascii="Arial" w:hAnsi="Arial" w:cs="Arial"/>
          <w:b/>
          <w:bCs/>
          <w:color w:val="7030A0"/>
          <w:sz w:val="24"/>
          <w:szCs w:val="24"/>
        </w:rPr>
        <w:t>Description of the data</w:t>
      </w:r>
    </w:p>
    <w:p w14:paraId="2DD168B7" w14:textId="77777777" w:rsidR="00382971" w:rsidRDefault="00382971" w:rsidP="00382971">
      <w:pPr>
        <w:pStyle w:val="ListParagraph"/>
        <w:spacing w:before="120" w:after="120" w:line="251" w:lineRule="auto"/>
        <w:ind w:left="0"/>
        <w:jc w:val="both"/>
        <w:rPr>
          <w:rFonts w:ascii="Arial" w:hAnsi="Arial" w:cs="Arial"/>
        </w:rPr>
      </w:pPr>
      <w:r>
        <w:rPr>
          <w:rFonts w:ascii="Arial" w:hAnsi="Arial" w:cs="Arial"/>
        </w:rPr>
        <w:t xml:space="preserve">Housing Regulation Branch (HRB) within the Department for Communities (DfC) collects information on social housing stock owned by housing associations (HAs) registered with DfC. </w:t>
      </w:r>
    </w:p>
    <w:p w14:paraId="55AAF55E" w14:textId="77777777" w:rsidR="00382971" w:rsidRDefault="00382971" w:rsidP="00382971">
      <w:pPr>
        <w:pStyle w:val="ListParagraph"/>
        <w:spacing w:before="120" w:after="120" w:line="251" w:lineRule="auto"/>
        <w:ind w:left="0"/>
        <w:jc w:val="both"/>
        <w:rPr>
          <w:rFonts w:ascii="Arial" w:hAnsi="Arial" w:cs="Arial"/>
        </w:rPr>
      </w:pPr>
      <w:r>
        <w:rPr>
          <w:rFonts w:ascii="Arial" w:hAnsi="Arial" w:cs="Arial"/>
        </w:rPr>
        <w:t xml:space="preserve">Data gathered from the HAs is used in the production of performance indicators. These indicators are used to assess and compare the performance across all HAs. Data is requested from each HA via an Excel version of the Regulatory Standards Annual Return (RSAR). </w:t>
      </w:r>
    </w:p>
    <w:p w14:paraId="1A93FC87" w14:textId="77777777" w:rsidR="00382971" w:rsidRDefault="00382971" w:rsidP="00382971">
      <w:pPr>
        <w:pStyle w:val="ListParagraph"/>
        <w:spacing w:before="120" w:after="120" w:line="251" w:lineRule="auto"/>
        <w:ind w:left="0"/>
        <w:jc w:val="both"/>
        <w:rPr>
          <w:rFonts w:ascii="Arial" w:hAnsi="Arial" w:cs="Arial"/>
        </w:rPr>
      </w:pPr>
    </w:p>
    <w:p w14:paraId="3A4B97AB" w14:textId="77777777" w:rsidR="00382971" w:rsidRDefault="00382971" w:rsidP="00382971">
      <w:pPr>
        <w:pStyle w:val="ListParagraph"/>
        <w:spacing w:before="120" w:after="120" w:line="251" w:lineRule="auto"/>
        <w:ind w:left="0"/>
        <w:jc w:val="both"/>
        <w:rPr>
          <w:rFonts w:ascii="Arial" w:hAnsi="Arial" w:cs="Arial"/>
        </w:rPr>
      </w:pPr>
      <w:r>
        <w:rPr>
          <w:rFonts w:ascii="Arial" w:hAnsi="Arial" w:cs="Arial"/>
        </w:rPr>
        <w:t xml:space="preserve">Relevant data from the returns are collated onto a single spreadsheet and this information is used to calculate figures for Table 3.3c (and previously Tables 3.3a and 3.3b). </w:t>
      </w:r>
    </w:p>
    <w:p w14:paraId="01063FAF" w14:textId="77777777" w:rsidR="00382971" w:rsidRDefault="00382971" w:rsidP="00382971">
      <w:pPr>
        <w:pStyle w:val="ListParagraph"/>
        <w:spacing w:before="120" w:after="120" w:line="251" w:lineRule="auto"/>
        <w:ind w:left="0"/>
        <w:jc w:val="both"/>
        <w:rPr>
          <w:rFonts w:ascii="Arial" w:hAnsi="Arial" w:cs="Arial"/>
        </w:rPr>
      </w:pPr>
      <w:r>
        <w:rPr>
          <w:rFonts w:ascii="Arial" w:hAnsi="Arial" w:cs="Arial"/>
        </w:rPr>
        <w:t xml:space="preserve">Data is gathered under several categories including, but not limited to the following examples: </w:t>
      </w:r>
    </w:p>
    <w:p w14:paraId="67C5D7C4" w14:textId="77777777" w:rsidR="00382971" w:rsidRDefault="00382971" w:rsidP="00382971">
      <w:pPr>
        <w:pStyle w:val="ListParagraph"/>
        <w:numPr>
          <w:ilvl w:val="1"/>
          <w:numId w:val="15"/>
        </w:numPr>
        <w:suppressAutoHyphens/>
        <w:autoSpaceDN w:val="0"/>
        <w:spacing w:before="120" w:after="120" w:line="251" w:lineRule="auto"/>
        <w:jc w:val="both"/>
        <w:rPr>
          <w:rFonts w:ascii="Arial" w:hAnsi="Arial" w:cs="Arial"/>
        </w:rPr>
      </w:pPr>
      <w:r>
        <w:rPr>
          <w:rFonts w:ascii="Arial" w:hAnsi="Arial" w:cs="Arial"/>
        </w:rPr>
        <w:t>summary information about the housing association, its subsidiaries  and the services provided by, for or shared with other bodies</w:t>
      </w:r>
    </w:p>
    <w:p w14:paraId="2BF36714" w14:textId="77777777" w:rsidR="00382971" w:rsidRDefault="00382971" w:rsidP="00382971">
      <w:pPr>
        <w:pStyle w:val="ListParagraph"/>
        <w:numPr>
          <w:ilvl w:val="1"/>
          <w:numId w:val="15"/>
        </w:numPr>
        <w:suppressAutoHyphens/>
        <w:autoSpaceDN w:val="0"/>
        <w:spacing w:before="120" w:after="120" w:line="251" w:lineRule="auto"/>
        <w:jc w:val="both"/>
        <w:rPr>
          <w:rFonts w:ascii="Arial" w:hAnsi="Arial" w:cs="Arial"/>
        </w:rPr>
      </w:pPr>
      <w:r>
        <w:rPr>
          <w:rFonts w:ascii="Arial" w:hAnsi="Arial" w:cs="Arial"/>
        </w:rPr>
        <w:t xml:space="preserve">housing management (voids, rental income, stock condition surveys) </w:t>
      </w:r>
    </w:p>
    <w:p w14:paraId="33C62649" w14:textId="77777777" w:rsidR="00382971" w:rsidRDefault="00382971" w:rsidP="00382971">
      <w:pPr>
        <w:pStyle w:val="ListParagraph"/>
        <w:numPr>
          <w:ilvl w:val="1"/>
          <w:numId w:val="15"/>
        </w:numPr>
        <w:suppressAutoHyphens/>
        <w:autoSpaceDN w:val="0"/>
        <w:spacing w:before="120" w:after="120" w:line="251" w:lineRule="auto"/>
        <w:jc w:val="both"/>
        <w:rPr>
          <w:rFonts w:ascii="Arial" w:hAnsi="Arial" w:cs="Arial"/>
        </w:rPr>
      </w:pPr>
      <w:r>
        <w:rPr>
          <w:rFonts w:ascii="Arial" w:hAnsi="Arial" w:cs="Arial"/>
        </w:rPr>
        <w:t>maintenance (performance against repair response targets)</w:t>
      </w:r>
    </w:p>
    <w:p w14:paraId="53B784F4" w14:textId="77777777" w:rsidR="00382971" w:rsidRDefault="00382971" w:rsidP="00382971">
      <w:pPr>
        <w:pStyle w:val="ListParagraph"/>
        <w:numPr>
          <w:ilvl w:val="1"/>
          <w:numId w:val="15"/>
        </w:numPr>
        <w:suppressAutoHyphens/>
        <w:autoSpaceDN w:val="0"/>
        <w:spacing w:before="120" w:after="120" w:line="251" w:lineRule="auto"/>
        <w:jc w:val="both"/>
        <w:rPr>
          <w:rFonts w:ascii="Arial" w:hAnsi="Arial" w:cs="Arial"/>
        </w:rPr>
      </w:pPr>
      <w:r>
        <w:rPr>
          <w:rFonts w:ascii="Arial" w:hAnsi="Arial" w:cs="Arial"/>
        </w:rPr>
        <w:t>contextual statistical information (numbers and type of dwelling units)</w:t>
      </w:r>
    </w:p>
    <w:p w14:paraId="42745497" w14:textId="77777777" w:rsidR="00382971" w:rsidRDefault="00382971" w:rsidP="00382971">
      <w:pPr>
        <w:pStyle w:val="ListParagraph"/>
        <w:numPr>
          <w:ilvl w:val="1"/>
          <w:numId w:val="15"/>
        </w:numPr>
        <w:suppressAutoHyphens/>
        <w:autoSpaceDN w:val="0"/>
        <w:spacing w:before="120" w:after="120" w:line="251" w:lineRule="auto"/>
        <w:jc w:val="both"/>
        <w:rPr>
          <w:rFonts w:ascii="Arial" w:hAnsi="Arial" w:cs="Arial"/>
        </w:rPr>
      </w:pPr>
      <w:r>
        <w:rPr>
          <w:rFonts w:ascii="Arial" w:hAnsi="Arial" w:cs="Arial"/>
        </w:rPr>
        <w:t xml:space="preserve">miscellaneous (number of units recovered and let) </w:t>
      </w:r>
    </w:p>
    <w:p w14:paraId="03DDF76E" w14:textId="77777777" w:rsidR="00382971" w:rsidRDefault="00382971" w:rsidP="00382971">
      <w:pPr>
        <w:pStyle w:val="ListParagraph"/>
        <w:numPr>
          <w:ilvl w:val="1"/>
          <w:numId w:val="15"/>
        </w:numPr>
        <w:suppressAutoHyphens/>
        <w:autoSpaceDN w:val="0"/>
        <w:spacing w:before="120" w:after="120" w:line="251" w:lineRule="auto"/>
        <w:jc w:val="both"/>
        <w:rPr>
          <w:rFonts w:ascii="Arial" w:hAnsi="Arial" w:cs="Arial"/>
        </w:rPr>
      </w:pPr>
      <w:r>
        <w:rPr>
          <w:rFonts w:ascii="Arial" w:hAnsi="Arial" w:cs="Arial"/>
        </w:rPr>
        <w:t>additional information (board and committee membership)</w:t>
      </w:r>
    </w:p>
    <w:p w14:paraId="7569F0E1" w14:textId="77777777" w:rsidR="00382971" w:rsidRDefault="00382971" w:rsidP="00382971">
      <w:pPr>
        <w:pStyle w:val="ListParagraph"/>
        <w:numPr>
          <w:ilvl w:val="1"/>
          <w:numId w:val="15"/>
        </w:numPr>
        <w:suppressAutoHyphens/>
        <w:autoSpaceDN w:val="0"/>
        <w:spacing w:before="120" w:after="120" w:line="251" w:lineRule="auto"/>
        <w:jc w:val="both"/>
        <w:rPr>
          <w:rFonts w:ascii="Arial" w:hAnsi="Arial" w:cs="Arial"/>
        </w:rPr>
      </w:pPr>
      <w:r>
        <w:rPr>
          <w:rFonts w:ascii="Arial" w:hAnsi="Arial" w:cs="Arial"/>
        </w:rPr>
        <w:t>financial information including management accounts and maintenance budgets and expenditure</w:t>
      </w:r>
    </w:p>
    <w:p w14:paraId="7C4AD13C" w14:textId="77777777" w:rsidR="00382971" w:rsidRDefault="00382971" w:rsidP="00382971">
      <w:pPr>
        <w:pStyle w:val="ListParagraph"/>
        <w:spacing w:before="120" w:after="120" w:line="251" w:lineRule="auto"/>
        <w:ind w:left="1440"/>
        <w:jc w:val="both"/>
        <w:rPr>
          <w:rFonts w:ascii="Arial" w:hAnsi="Arial" w:cs="Arial"/>
        </w:rPr>
      </w:pPr>
    </w:p>
    <w:p w14:paraId="5D49E168" w14:textId="77777777" w:rsidR="00382971" w:rsidRDefault="00382971" w:rsidP="00382971">
      <w:pPr>
        <w:pStyle w:val="ListParagraph"/>
        <w:spacing w:before="120" w:after="120" w:line="251" w:lineRule="auto"/>
        <w:ind w:left="0"/>
        <w:rPr>
          <w:rFonts w:ascii="Arial" w:hAnsi="Arial" w:cs="Arial"/>
        </w:rPr>
      </w:pPr>
      <w:r>
        <w:rPr>
          <w:rFonts w:ascii="Arial" w:hAnsi="Arial" w:cs="Arial"/>
        </w:rPr>
        <w:t xml:space="preserve">Due to a change in data collection methodology from 2016-17 onwards, it is no longer possible to provide figures for average weekly rent which are comparable to those published up to and including the year 2015-16. Table 3.3a and Table 3.3b have been included in the report as a historical table, to which further updates have been discontinued. </w:t>
      </w:r>
    </w:p>
    <w:p w14:paraId="592AFDBD" w14:textId="15A61776" w:rsidR="00382971" w:rsidRDefault="00382971" w:rsidP="00382971">
      <w:pPr>
        <w:pStyle w:val="ListParagraph"/>
        <w:spacing w:before="120" w:after="120" w:line="251" w:lineRule="auto"/>
        <w:ind w:left="0"/>
        <w:rPr>
          <w:rFonts w:ascii="Arial" w:hAnsi="Arial" w:cs="Arial"/>
        </w:rPr>
      </w:pPr>
      <w:r>
        <w:rPr>
          <w:rFonts w:ascii="Arial" w:hAnsi="Arial" w:cs="Arial"/>
        </w:rPr>
        <w:t>Due to the recategorisation of some general needs properties during 2017-18 it is not possible to provide average weekly rents for 2016-17 and 2017-18 which are comparable to those published from 2018-19 onwards.</w:t>
      </w:r>
    </w:p>
    <w:p w14:paraId="615522AF" w14:textId="77777777" w:rsidR="00382971" w:rsidRPr="00493F55" w:rsidRDefault="00382971" w:rsidP="00382971">
      <w:pPr>
        <w:rPr>
          <w:rFonts w:ascii="Arial" w:hAnsi="Arial" w:cs="Arial"/>
          <w:b/>
          <w:bCs/>
          <w:iCs/>
          <w:color w:val="7030A0"/>
          <w:sz w:val="24"/>
          <w:szCs w:val="24"/>
        </w:rPr>
      </w:pPr>
      <w:r w:rsidRPr="00493F55">
        <w:rPr>
          <w:rFonts w:ascii="Arial" w:hAnsi="Arial" w:cs="Arial"/>
          <w:b/>
          <w:bCs/>
          <w:iCs/>
          <w:color w:val="7030A0"/>
          <w:sz w:val="24"/>
          <w:szCs w:val="24"/>
        </w:rPr>
        <w:t>Data Validation</w:t>
      </w:r>
    </w:p>
    <w:p w14:paraId="6D6ABB21" w14:textId="739AD339" w:rsidR="00382971" w:rsidRPr="00382971" w:rsidRDefault="00382971" w:rsidP="00382971">
      <w:pPr>
        <w:spacing w:line="251" w:lineRule="auto"/>
      </w:pPr>
      <w:r w:rsidRPr="00FC1E51">
        <w:rPr>
          <w:rFonts w:ascii="Arial" w:hAnsi="Arial" w:cs="Arial"/>
        </w:rPr>
        <w:t>A HA</w:t>
      </w:r>
      <w:r>
        <w:rPr>
          <w:rFonts w:ascii="Arial" w:hAnsi="Arial" w:cs="Arial"/>
        </w:rPr>
        <w:t>’</w:t>
      </w:r>
      <w:r w:rsidRPr="00FC1E51">
        <w:rPr>
          <w:rFonts w:ascii="Arial" w:hAnsi="Arial" w:cs="Arial"/>
        </w:rPr>
        <w:t xml:space="preserve">s board is required to review and approve the RSAR prior to its submission to HRB. The consistency of the information provided in the RSAR is considered by Housing Regulation staff as part of the annual regulatory assessment.  Any discrepancies identified as part of this process are raised with the HAs and an explanation or correction sought. </w:t>
      </w:r>
    </w:p>
    <w:p w14:paraId="3299CACA" w14:textId="77777777" w:rsidR="00382971" w:rsidRPr="00493F55" w:rsidRDefault="00382971" w:rsidP="00382971">
      <w:pPr>
        <w:rPr>
          <w:b/>
          <w:bCs/>
          <w:iCs/>
        </w:rPr>
      </w:pPr>
      <w:r w:rsidRPr="00493F55">
        <w:rPr>
          <w:rFonts w:ascii="Arial" w:hAnsi="Arial" w:cs="Arial"/>
          <w:b/>
          <w:bCs/>
          <w:iCs/>
          <w:color w:val="7030A0"/>
          <w:sz w:val="24"/>
          <w:szCs w:val="24"/>
        </w:rPr>
        <w:t>Data Extract</w:t>
      </w:r>
    </w:p>
    <w:p w14:paraId="5838DC09" w14:textId="66BC07C4" w:rsidR="00382971" w:rsidRDefault="00382971" w:rsidP="00382971">
      <w:pPr>
        <w:rPr>
          <w:rFonts w:ascii="Arial" w:hAnsi="Arial" w:cs="Arial"/>
        </w:rPr>
      </w:pPr>
      <w:r>
        <w:rPr>
          <w:rFonts w:ascii="Arial" w:hAnsi="Arial" w:cs="Arial"/>
        </w:rPr>
        <w:t>The statistics published relate to 31 March each year.</w:t>
      </w:r>
    </w:p>
    <w:p w14:paraId="185E3CEF" w14:textId="77777777" w:rsidR="00382971" w:rsidRPr="00493F55" w:rsidRDefault="00382971" w:rsidP="00382971">
      <w:pPr>
        <w:rPr>
          <w:rFonts w:ascii="Arial" w:hAnsi="Arial" w:cs="Arial"/>
          <w:b/>
          <w:bCs/>
          <w:iCs/>
          <w:color w:val="7030A0"/>
          <w:sz w:val="24"/>
          <w:szCs w:val="24"/>
        </w:rPr>
      </w:pPr>
      <w:r w:rsidRPr="00493F55">
        <w:rPr>
          <w:rFonts w:ascii="Arial" w:hAnsi="Arial" w:cs="Arial"/>
          <w:b/>
          <w:bCs/>
          <w:iCs/>
          <w:color w:val="7030A0"/>
          <w:sz w:val="24"/>
          <w:szCs w:val="24"/>
        </w:rPr>
        <w:t>Quality Assurance</w:t>
      </w:r>
    </w:p>
    <w:p w14:paraId="280F4658" w14:textId="15337EF9" w:rsidR="00382971" w:rsidRPr="00382971" w:rsidRDefault="00382971" w:rsidP="00382971">
      <w:pPr>
        <w:rPr>
          <w:rFonts w:ascii="Arial" w:hAnsi="Arial" w:cs="Arial"/>
        </w:rPr>
      </w:pPr>
      <w:r>
        <w:rPr>
          <w:rFonts w:ascii="Arial" w:hAnsi="Arial" w:cs="Arial"/>
        </w:rPr>
        <w:t>A draft Regulatory Judgement and Key Performance Report is issued to each HA prior to publication to confirm factual accuracy.</w:t>
      </w:r>
    </w:p>
    <w:p w14:paraId="6D0A67EC" w14:textId="77777777" w:rsidR="00382971" w:rsidRPr="00493F55" w:rsidRDefault="00382971" w:rsidP="00382971">
      <w:pPr>
        <w:rPr>
          <w:rFonts w:ascii="Arial" w:hAnsi="Arial" w:cs="Arial"/>
          <w:b/>
          <w:bCs/>
          <w:iCs/>
          <w:color w:val="7030A0"/>
          <w:sz w:val="24"/>
          <w:szCs w:val="24"/>
        </w:rPr>
      </w:pPr>
      <w:r w:rsidRPr="00493F55">
        <w:rPr>
          <w:rFonts w:ascii="Arial" w:hAnsi="Arial" w:cs="Arial"/>
          <w:b/>
          <w:bCs/>
          <w:iCs/>
          <w:color w:val="7030A0"/>
          <w:sz w:val="24"/>
          <w:szCs w:val="24"/>
        </w:rPr>
        <w:t>User Needs</w:t>
      </w:r>
    </w:p>
    <w:p w14:paraId="4341AD4A" w14:textId="77777777" w:rsidR="00382971" w:rsidRDefault="00382971" w:rsidP="00382971">
      <w:pPr>
        <w:rPr>
          <w:rFonts w:ascii="Arial" w:hAnsi="Arial" w:cs="Arial"/>
        </w:rPr>
      </w:pPr>
      <w:r>
        <w:rPr>
          <w:rFonts w:ascii="Arial" w:hAnsi="Arial" w:cs="Arial"/>
        </w:rPr>
        <w:t xml:space="preserve">The primary users of the performance indicators are social housing tenants, DfC Housing Group and the HAs. The indicators are used as an information source and also to monitor the performance of the HAs. </w:t>
      </w:r>
    </w:p>
    <w:p w14:paraId="49A1C0BB" w14:textId="77777777" w:rsidR="00382971" w:rsidRDefault="00382971" w:rsidP="00382971">
      <w:pPr>
        <w:rPr>
          <w:rFonts w:ascii="Arial" w:hAnsi="Arial" w:cs="Arial"/>
        </w:rPr>
      </w:pPr>
      <w:r>
        <w:rPr>
          <w:rFonts w:ascii="Arial" w:hAnsi="Arial" w:cs="Arial"/>
        </w:rPr>
        <w:lastRenderedPageBreak/>
        <w:t xml:space="preserve">A review and user consultation of Table 3.3 which was included in previous editions of the Northern Ireland Housing Statistics publication was carried out during 2015. Table 3.3 has been replaced in the 2014-15 edition by Tables 3.3a and 3.3b.  Information concerning the review and consultation can be found at the following link: </w:t>
      </w:r>
    </w:p>
    <w:p w14:paraId="04CEE141" w14:textId="19B6CF18" w:rsidR="00382971" w:rsidRPr="00382971" w:rsidRDefault="00382971" w:rsidP="00382971">
      <w:pPr>
        <w:rPr>
          <w:rFonts w:ascii="Arial" w:hAnsi="Arial" w:cs="Arial"/>
          <w:sz w:val="24"/>
          <w:szCs w:val="24"/>
        </w:rPr>
      </w:pPr>
      <w:hyperlink r:id="rId17" w:history="1">
        <w:r>
          <w:rPr>
            <w:rStyle w:val="Hyperlink"/>
            <w:rFonts w:ascii="Arial" w:hAnsi="Arial" w:cs="Arial"/>
            <w:sz w:val="24"/>
            <w:szCs w:val="24"/>
          </w:rPr>
          <w:t>Housing Association Rents</w:t>
        </w:r>
      </w:hyperlink>
      <w:r>
        <w:rPr>
          <w:rFonts w:ascii="Arial" w:hAnsi="Arial" w:cs="Arial"/>
          <w:sz w:val="24"/>
          <w:szCs w:val="24"/>
        </w:rPr>
        <w:t xml:space="preserve"> </w:t>
      </w:r>
    </w:p>
    <w:p w14:paraId="0FA41BE2" w14:textId="77777777" w:rsidR="00382971" w:rsidRPr="00493F55" w:rsidRDefault="00382971" w:rsidP="00382971">
      <w:pPr>
        <w:rPr>
          <w:rFonts w:ascii="Arial" w:hAnsi="Arial" w:cs="Arial"/>
          <w:b/>
          <w:bCs/>
          <w:iCs/>
          <w:color w:val="7030A0"/>
          <w:sz w:val="24"/>
          <w:szCs w:val="24"/>
        </w:rPr>
      </w:pPr>
      <w:r w:rsidRPr="00493F55">
        <w:rPr>
          <w:rFonts w:ascii="Arial" w:hAnsi="Arial" w:cs="Arial"/>
          <w:b/>
          <w:bCs/>
          <w:iCs/>
          <w:color w:val="7030A0"/>
          <w:sz w:val="24"/>
          <w:szCs w:val="24"/>
        </w:rPr>
        <w:t xml:space="preserve">Accessibility </w:t>
      </w:r>
    </w:p>
    <w:p w14:paraId="25CE7975" w14:textId="77777777" w:rsidR="00382971" w:rsidRPr="00FC1E51" w:rsidRDefault="00382971" w:rsidP="00382971">
      <w:pPr>
        <w:spacing w:line="251" w:lineRule="auto"/>
      </w:pPr>
      <w:r w:rsidRPr="00FC1E51">
        <w:rPr>
          <w:rFonts w:ascii="Arial" w:hAnsi="Arial" w:cs="Arial"/>
        </w:rPr>
        <w:t xml:space="preserve">Key Performance Reports, showing information on key performance indicators, including for rent, response maintenance targets, health and safety checks and voids, are published for each HA on the </w:t>
      </w:r>
      <w:r w:rsidRPr="00FC1E51">
        <w:rPr>
          <w:rFonts w:ascii="Arial" w:hAnsi="Arial" w:cs="Arial"/>
          <w:color w:val="0000FF"/>
          <w:u w:val="single"/>
        </w:rPr>
        <w:t>DfC website</w:t>
      </w:r>
      <w:r w:rsidRPr="00FC1E51">
        <w:rPr>
          <w:rFonts w:ascii="Arial" w:hAnsi="Arial" w:cs="Arial"/>
        </w:rPr>
        <w:t xml:space="preserve"> </w:t>
      </w:r>
    </w:p>
    <w:p w14:paraId="57E8F8C7" w14:textId="4DFDB934" w:rsidR="00382971" w:rsidRDefault="00382971" w:rsidP="00382971">
      <w:hyperlink r:id="rId18" w:history="1">
        <w:r>
          <w:rPr>
            <w:rStyle w:val="Hyperlink"/>
            <w:rFonts w:ascii="Arial" w:hAnsi="Arial" w:cs="Arial"/>
            <w:sz w:val="24"/>
            <w:szCs w:val="24"/>
          </w:rPr>
          <w:t>Housing Association Reports</w:t>
        </w:r>
      </w:hyperlink>
    </w:p>
    <w:p w14:paraId="1F9CC1E3" w14:textId="77777777" w:rsidR="00382971" w:rsidRPr="00493F55" w:rsidRDefault="00382971" w:rsidP="00382971">
      <w:pPr>
        <w:rPr>
          <w:b/>
          <w:bCs/>
        </w:rPr>
      </w:pPr>
      <w:r w:rsidRPr="00493F55">
        <w:rPr>
          <w:rFonts w:ascii="Arial" w:hAnsi="Arial" w:cs="Arial"/>
          <w:b/>
          <w:bCs/>
          <w:color w:val="7030A0"/>
          <w:sz w:val="24"/>
          <w:szCs w:val="24"/>
        </w:rPr>
        <w:t xml:space="preserve">Frequency of Publication </w:t>
      </w:r>
    </w:p>
    <w:p w14:paraId="77D53CD9" w14:textId="5682CC6F" w:rsidR="00382971" w:rsidRPr="00382971" w:rsidRDefault="00382971" w:rsidP="00382971">
      <w:pPr>
        <w:rPr>
          <w:rFonts w:ascii="Arial" w:hAnsi="Arial" w:cs="Arial"/>
        </w:rPr>
      </w:pPr>
      <w:r>
        <w:rPr>
          <w:rFonts w:ascii="Arial" w:hAnsi="Arial" w:cs="Arial"/>
        </w:rPr>
        <w:t>The Key Performance Reports and Regulatory Judgements are published yearly following the completion of the regulatory assessment.</w:t>
      </w:r>
    </w:p>
    <w:p w14:paraId="4F6F706F" w14:textId="460A3BBD" w:rsidR="00AF23E4" w:rsidRPr="00710FB9" w:rsidRDefault="00AF23E4" w:rsidP="00710FB9">
      <w:pPr>
        <w:pStyle w:val="Style1"/>
        <w:numPr>
          <w:ilvl w:val="0"/>
          <w:numId w:val="0"/>
        </w:numPr>
        <w:tabs>
          <w:tab w:val="left" w:pos="720"/>
        </w:tabs>
        <w:spacing w:before="240" w:after="160" w:line="259" w:lineRule="auto"/>
        <w:rPr>
          <w:rFonts w:ascii="Arial" w:hAnsi="Arial" w:cs="Arial"/>
          <w:sz w:val="28"/>
        </w:rPr>
      </w:pPr>
      <w:r w:rsidRPr="00710FB9">
        <w:rPr>
          <w:rFonts w:ascii="Arial" w:hAnsi="Arial" w:cs="Arial"/>
          <w:b/>
          <w:sz w:val="28"/>
        </w:rPr>
        <w:t xml:space="preserve">Table 3.4: NIHE tenants in receipt of </w:t>
      </w:r>
      <w:r w:rsidR="00D04780">
        <w:rPr>
          <w:rFonts w:ascii="Arial" w:hAnsi="Arial" w:cs="Arial"/>
          <w:b/>
          <w:sz w:val="28"/>
        </w:rPr>
        <w:t>H</w:t>
      </w:r>
      <w:r w:rsidRPr="00710FB9">
        <w:rPr>
          <w:rFonts w:ascii="Arial" w:hAnsi="Arial" w:cs="Arial"/>
          <w:b/>
          <w:sz w:val="28"/>
        </w:rPr>
        <w:t xml:space="preserve">ousing </w:t>
      </w:r>
      <w:r w:rsidR="00D04780">
        <w:rPr>
          <w:rFonts w:ascii="Arial" w:hAnsi="Arial" w:cs="Arial"/>
          <w:b/>
          <w:sz w:val="28"/>
        </w:rPr>
        <w:t>B</w:t>
      </w:r>
      <w:r w:rsidRPr="00710FB9">
        <w:rPr>
          <w:rFonts w:ascii="Arial" w:hAnsi="Arial" w:cs="Arial"/>
          <w:b/>
          <w:sz w:val="28"/>
        </w:rPr>
        <w:t xml:space="preserve">enefit 2002-03 to </w:t>
      </w:r>
      <w:r w:rsidR="00F4089B">
        <w:rPr>
          <w:rFonts w:ascii="Arial" w:hAnsi="Arial" w:cs="Arial"/>
          <w:b/>
          <w:sz w:val="28"/>
        </w:rPr>
        <w:t>2025-26</w:t>
      </w:r>
    </w:p>
    <w:p w14:paraId="013928DF" w14:textId="77777777" w:rsidR="00AF23E4" w:rsidRDefault="00AF23E4" w:rsidP="00710FB9">
      <w:pPr>
        <w:spacing w:before="120" w:after="120"/>
        <w:jc w:val="both"/>
        <w:rPr>
          <w:rFonts w:ascii="Arial" w:hAnsi="Arial" w:cs="Arial"/>
          <w:b/>
          <w:color w:val="7030A0"/>
          <w:sz w:val="24"/>
          <w:szCs w:val="24"/>
        </w:rPr>
      </w:pPr>
      <w:r>
        <w:rPr>
          <w:rFonts w:ascii="Arial" w:hAnsi="Arial" w:cs="Arial"/>
          <w:b/>
          <w:color w:val="7030A0"/>
          <w:sz w:val="24"/>
          <w:szCs w:val="24"/>
        </w:rPr>
        <w:t>Data Quality</w:t>
      </w:r>
    </w:p>
    <w:p w14:paraId="08E19EA0" w14:textId="77777777" w:rsidR="00AF23E4" w:rsidRDefault="00AF23E4" w:rsidP="00710FB9">
      <w:pPr>
        <w:spacing w:before="120" w:after="120"/>
        <w:jc w:val="both"/>
        <w:rPr>
          <w:rFonts w:ascii="Arial" w:hAnsi="Arial" w:cs="Arial"/>
          <w:i/>
          <w:color w:val="7030A0"/>
          <w:sz w:val="24"/>
          <w:szCs w:val="24"/>
        </w:rPr>
      </w:pPr>
      <w:r>
        <w:rPr>
          <w:rFonts w:ascii="Arial" w:hAnsi="Arial" w:cs="Arial"/>
          <w:i/>
          <w:color w:val="7030A0"/>
          <w:sz w:val="24"/>
          <w:szCs w:val="24"/>
        </w:rPr>
        <w:t>Relevance</w:t>
      </w:r>
    </w:p>
    <w:p w14:paraId="528F08A9" w14:textId="77777777" w:rsidR="00CA02D3" w:rsidRPr="00710FB9" w:rsidRDefault="00AF23E4" w:rsidP="00710FB9">
      <w:pPr>
        <w:spacing w:before="120" w:after="120"/>
        <w:jc w:val="both"/>
        <w:rPr>
          <w:rFonts w:ascii="Arial" w:hAnsi="Arial" w:cs="Arial"/>
        </w:rPr>
      </w:pPr>
      <w:r>
        <w:rPr>
          <w:rFonts w:ascii="Arial" w:hAnsi="Arial" w:cs="Arial"/>
        </w:rPr>
        <w:t xml:space="preserve">The Northern Ireland Housing Executive holds information on all Housing Benefit cases in Northern Ireland, and on Housing Executive rent accounts, in operational IT systems. The data in this table relates solely to properties rented from the Housing Executive, and is extracted from the ‘i-world’ Housing Benefit System and the Housing Management System (HMS).  Users of the tables are those with an interest in the housing sector; including government officials, the voluntary sector, charities, </w:t>
      </w:r>
      <w:r w:rsidRPr="00E953B8">
        <w:rPr>
          <w:rFonts w:ascii="Arial" w:hAnsi="Arial" w:cs="Arial"/>
        </w:rPr>
        <w:t xml:space="preserve">the </w:t>
      </w:r>
      <w:r>
        <w:rPr>
          <w:rFonts w:ascii="Arial" w:hAnsi="Arial" w:cs="Arial"/>
        </w:rPr>
        <w:t>private sector and others.  The figures are based on information about all Housing Executive tenancies in Northern Ireland.</w:t>
      </w:r>
    </w:p>
    <w:p w14:paraId="544C2B00" w14:textId="77777777" w:rsidR="00AF23E4" w:rsidRDefault="00AF23E4" w:rsidP="00710FB9">
      <w:pPr>
        <w:autoSpaceDE w:val="0"/>
        <w:autoSpaceDN w:val="0"/>
        <w:adjustRightInd w:val="0"/>
        <w:spacing w:before="120" w:after="120"/>
        <w:rPr>
          <w:rFonts w:ascii="Arial" w:hAnsi="Arial" w:cs="Arial"/>
          <w:i/>
          <w:iCs/>
          <w:color w:val="7030A0"/>
          <w:sz w:val="24"/>
          <w:szCs w:val="24"/>
        </w:rPr>
      </w:pPr>
      <w:r>
        <w:rPr>
          <w:rFonts w:ascii="Arial" w:hAnsi="Arial" w:cs="Arial"/>
          <w:i/>
          <w:iCs/>
          <w:color w:val="7030A0"/>
          <w:sz w:val="24"/>
          <w:szCs w:val="24"/>
        </w:rPr>
        <w:t>Accessibility and Clarity</w:t>
      </w:r>
    </w:p>
    <w:p w14:paraId="091A7ADE"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This table is published in the DfC’s annual Housing Statistics, where it is available in pdf, </w:t>
      </w:r>
      <w:r w:rsidR="00730481">
        <w:rPr>
          <w:rFonts w:ascii="Arial" w:hAnsi="Arial" w:cs="Arial"/>
          <w:sz w:val="22"/>
          <w:szCs w:val="22"/>
        </w:rPr>
        <w:t xml:space="preserve">open source </w:t>
      </w:r>
      <w:r>
        <w:rPr>
          <w:rFonts w:ascii="Arial" w:hAnsi="Arial" w:cs="Arial"/>
          <w:sz w:val="22"/>
          <w:szCs w:val="22"/>
        </w:rPr>
        <w:t>and Word format. Requests for the information in different formats can be made by contacting the Department for Communities. Supporting and/or additional information may be available on request from the Housing Executive.</w:t>
      </w:r>
    </w:p>
    <w:p w14:paraId="57E83E49" w14:textId="77777777" w:rsidR="00AF23E4" w:rsidRDefault="00AF23E4" w:rsidP="00710FB9">
      <w:pPr>
        <w:autoSpaceDE w:val="0"/>
        <w:autoSpaceDN w:val="0"/>
        <w:adjustRightInd w:val="0"/>
        <w:spacing w:before="120" w:after="120"/>
        <w:rPr>
          <w:rFonts w:ascii="Arial" w:hAnsi="Arial" w:cs="Arial"/>
          <w:i/>
          <w:iCs/>
          <w:color w:val="7030A0"/>
          <w:sz w:val="24"/>
          <w:szCs w:val="24"/>
        </w:rPr>
      </w:pPr>
      <w:r>
        <w:rPr>
          <w:rFonts w:ascii="Arial" w:hAnsi="Arial" w:cs="Arial"/>
          <w:i/>
          <w:iCs/>
          <w:color w:val="7030A0"/>
          <w:sz w:val="24"/>
          <w:szCs w:val="24"/>
        </w:rPr>
        <w:t>Accuracy</w:t>
      </w:r>
    </w:p>
    <w:p w14:paraId="03AA53BC" w14:textId="77777777"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Figures are derived from ‘Business Objects’ reports within the Housing Benefit system, which identify live Housing Benefit awards for Housing Executive tenancies and cases with a ‘Full Housing Benefit’ flag for Housing Executive tenancies. Full Housing Benefit refers to when the full charge for rent and rates is met by Housing Benefit.</w:t>
      </w:r>
      <w:r>
        <w:rPr>
          <w:sz w:val="22"/>
          <w:szCs w:val="22"/>
        </w:rPr>
        <w:t xml:space="preserve"> </w:t>
      </w:r>
      <w:r>
        <w:rPr>
          <w:rFonts w:ascii="Arial" w:hAnsi="Arial" w:cs="Arial"/>
          <w:sz w:val="22"/>
          <w:szCs w:val="22"/>
        </w:rPr>
        <w:t>The figure for the total amount of Housing Benefit paid is produced by the Housing Executive’s Finance Division. Controls that are subject to audit are in place to ensure the accuracy of the reported figures.</w:t>
      </w:r>
    </w:p>
    <w:p w14:paraId="385B0546" w14:textId="77777777" w:rsidR="00AF23E4" w:rsidRDefault="00AF23E4" w:rsidP="00710FB9">
      <w:pPr>
        <w:pStyle w:val="PlainText"/>
        <w:spacing w:before="120" w:after="120" w:line="259" w:lineRule="auto"/>
        <w:jc w:val="both"/>
        <w:rPr>
          <w:rFonts w:ascii="Arial" w:hAnsi="Arial" w:cs="Arial"/>
          <w:color w:val="7030A0"/>
          <w:sz w:val="24"/>
          <w:szCs w:val="24"/>
        </w:rPr>
      </w:pPr>
      <w:r>
        <w:rPr>
          <w:rFonts w:ascii="Arial" w:hAnsi="Arial" w:cs="Arial"/>
          <w:i/>
          <w:iCs/>
          <w:color w:val="7030A0"/>
          <w:sz w:val="24"/>
          <w:szCs w:val="24"/>
        </w:rPr>
        <w:t>Timeliness</w:t>
      </w:r>
    </w:p>
    <w:p w14:paraId="16E62E31"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Statistics derived from HMS and the i-world system are published on an annual basis in DfC’s Housing Statistics publication.</w:t>
      </w:r>
    </w:p>
    <w:p w14:paraId="1786C686" w14:textId="77777777" w:rsidR="00AF23E4" w:rsidRDefault="00AF23E4" w:rsidP="00710FB9">
      <w:pPr>
        <w:spacing w:before="120" w:after="120"/>
        <w:rPr>
          <w:rFonts w:ascii="Arial" w:hAnsi="Arial" w:cs="Arial"/>
          <w:i/>
          <w:iCs/>
          <w:color w:val="7030A0"/>
          <w:sz w:val="24"/>
          <w:szCs w:val="24"/>
        </w:rPr>
      </w:pPr>
      <w:r>
        <w:rPr>
          <w:rFonts w:ascii="Arial" w:hAnsi="Arial" w:cs="Arial"/>
          <w:i/>
          <w:iCs/>
          <w:color w:val="7030A0"/>
          <w:sz w:val="24"/>
          <w:szCs w:val="24"/>
        </w:rPr>
        <w:t>Coherence and Comparability</w:t>
      </w:r>
    </w:p>
    <w:p w14:paraId="287AC96A"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lastRenderedPageBreak/>
        <w:t>Figures relating to the total number of tenants, number of tenants in receipt of Housing Benefit, total benefit paid and average benefit per recipient are coherent and directly comparable with those published previously. However, figures relating to the number and proportion of tenants receiving full Housing Benefit from 2011-12 onwards are not strictly comparable with figures for previous years. An adjustment made to the Housing Benefit IT system during 2011-12, improved the accuracy of the figures from this year onwards.</w:t>
      </w:r>
    </w:p>
    <w:p w14:paraId="098DACF8" w14:textId="5D54F590"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Users should note that at the 31 March 2017, the number and proportion of tenants receiving full Housing Benefit was substantially lower than previous years and this trend continues</w:t>
      </w:r>
      <w:r w:rsidR="00620270">
        <w:rPr>
          <w:rFonts w:ascii="Arial" w:hAnsi="Arial" w:cs="Arial"/>
          <w:sz w:val="22"/>
          <w:szCs w:val="22"/>
        </w:rPr>
        <w:t>.</w:t>
      </w:r>
      <w:r>
        <w:rPr>
          <w:rFonts w:ascii="Arial" w:hAnsi="Arial" w:cs="Arial"/>
          <w:sz w:val="22"/>
          <w:szCs w:val="22"/>
        </w:rPr>
        <w:t xml:space="preserve"> This is due to the introduction of the Social Sector Size Criteria from 20 February 2017 which affects approximately 26,000 Housing Benefit claimants.  The majority of those impacted will be receiving full mitigation payments through the DfC Welfare Supplementary Payments scheme which makes up for the shortfall in Housing Benefit.</w:t>
      </w:r>
    </w:p>
    <w:p w14:paraId="462E0FE3" w14:textId="7BEC39D4" w:rsidR="00D04780" w:rsidRPr="00710FB9" w:rsidRDefault="00D04780" w:rsidP="00710FB9">
      <w:pPr>
        <w:pStyle w:val="Style1"/>
        <w:numPr>
          <w:ilvl w:val="0"/>
          <w:numId w:val="0"/>
        </w:numPr>
        <w:tabs>
          <w:tab w:val="left" w:pos="720"/>
        </w:tabs>
        <w:spacing w:before="120" w:after="120" w:line="259" w:lineRule="auto"/>
        <w:jc w:val="both"/>
        <w:rPr>
          <w:rFonts w:ascii="Arial" w:hAnsi="Arial" w:cs="Arial"/>
          <w:sz w:val="22"/>
          <w:szCs w:val="22"/>
        </w:rPr>
      </w:pPr>
      <w:r w:rsidRPr="002449A1">
        <w:rPr>
          <w:rFonts w:ascii="Arial" w:hAnsi="Arial" w:cs="Arial"/>
          <w:sz w:val="22"/>
          <w:szCs w:val="22"/>
        </w:rPr>
        <w:t>It should also be noted that, as part of the UK Government’s welfare reform programme, a process of transition from Housing Benefit to Universal Credit (housing costs) commenced from 2017/18, and has continued in successive years, with an associated reduction in the number and proportion of Housing Executive tenants in receipt of Housing Benefit. Eventually, all working age households will transition to the housing costs element of Universal Credit. However, those of State Pension Credit age, those placed in temporary accommodation by the Housing Executive, and those living in sheltered accommodation – including sheltered housing for older people – will continue to receive, and will still be able to claim, Housing Benefit.</w:t>
      </w:r>
    </w:p>
    <w:p w14:paraId="1B31682F" w14:textId="11828A33" w:rsidR="00AF23E4" w:rsidRPr="00710FB9" w:rsidRDefault="00AF23E4" w:rsidP="00710FB9">
      <w:pPr>
        <w:pStyle w:val="Style1"/>
        <w:numPr>
          <w:ilvl w:val="0"/>
          <w:numId w:val="0"/>
        </w:numPr>
        <w:tabs>
          <w:tab w:val="left" w:pos="720"/>
        </w:tabs>
        <w:spacing w:before="240" w:after="160" w:line="259" w:lineRule="auto"/>
        <w:rPr>
          <w:rFonts w:ascii="Arial" w:hAnsi="Arial" w:cs="Arial"/>
          <w:b/>
          <w:sz w:val="28"/>
        </w:rPr>
      </w:pPr>
      <w:r w:rsidRPr="00710FB9">
        <w:rPr>
          <w:rFonts w:ascii="Arial" w:hAnsi="Arial" w:cs="Arial"/>
          <w:b/>
          <w:sz w:val="28"/>
        </w:rPr>
        <w:t>Table 3.5: Social rented sector waiting list</w:t>
      </w:r>
      <w:r w:rsidR="00BB53DE">
        <w:rPr>
          <w:rFonts w:ascii="Arial" w:hAnsi="Arial" w:cs="Arial"/>
          <w:b/>
          <w:sz w:val="28"/>
        </w:rPr>
        <w:t xml:space="preserve"> and allocations 2002-03 to </w:t>
      </w:r>
      <w:r w:rsidR="00F4089B">
        <w:rPr>
          <w:rFonts w:ascii="Arial" w:hAnsi="Arial" w:cs="Arial"/>
          <w:b/>
          <w:sz w:val="28"/>
        </w:rPr>
        <w:t>2025-26</w:t>
      </w:r>
    </w:p>
    <w:p w14:paraId="51768E7E" w14:textId="57FC7342" w:rsidR="00AF23E4" w:rsidRPr="00710FB9" w:rsidRDefault="0032317A" w:rsidP="00710FB9">
      <w:pPr>
        <w:pStyle w:val="Style1"/>
        <w:numPr>
          <w:ilvl w:val="0"/>
          <w:numId w:val="0"/>
        </w:numPr>
        <w:tabs>
          <w:tab w:val="left" w:pos="720"/>
        </w:tabs>
        <w:spacing w:before="240" w:after="160" w:line="259" w:lineRule="auto"/>
        <w:rPr>
          <w:rFonts w:ascii="Arial" w:hAnsi="Arial" w:cs="Arial"/>
          <w:b/>
          <w:sz w:val="28"/>
        </w:rPr>
      </w:pPr>
      <w:r w:rsidRPr="00710FB9">
        <w:rPr>
          <w:rFonts w:ascii="Arial" w:hAnsi="Arial" w:cs="Arial"/>
          <w:b/>
          <w:sz w:val="28"/>
        </w:rPr>
        <w:t>Table 3.6</w:t>
      </w:r>
      <w:r w:rsidR="00AF23E4" w:rsidRPr="00710FB9">
        <w:rPr>
          <w:rFonts w:ascii="Arial" w:hAnsi="Arial" w:cs="Arial"/>
          <w:b/>
          <w:sz w:val="28"/>
        </w:rPr>
        <w:t>: Social rented sector waiting list b</w:t>
      </w:r>
      <w:r w:rsidR="00BB53DE">
        <w:rPr>
          <w:rFonts w:ascii="Arial" w:hAnsi="Arial" w:cs="Arial"/>
          <w:b/>
          <w:sz w:val="28"/>
        </w:rPr>
        <w:t xml:space="preserve">y local government district </w:t>
      </w:r>
      <w:r w:rsidR="00F4089B">
        <w:rPr>
          <w:rFonts w:ascii="Arial" w:hAnsi="Arial" w:cs="Arial"/>
          <w:b/>
          <w:sz w:val="28"/>
        </w:rPr>
        <w:t>2025-26</w:t>
      </w:r>
    </w:p>
    <w:p w14:paraId="4C45532F" w14:textId="22026D01" w:rsidR="00E479CE" w:rsidRPr="00710FB9" w:rsidRDefault="0032317A" w:rsidP="00710FB9">
      <w:pPr>
        <w:pStyle w:val="Style1"/>
        <w:numPr>
          <w:ilvl w:val="0"/>
          <w:numId w:val="0"/>
        </w:numPr>
        <w:tabs>
          <w:tab w:val="left" w:pos="720"/>
        </w:tabs>
        <w:spacing w:before="240" w:after="160" w:line="259" w:lineRule="auto"/>
        <w:rPr>
          <w:rFonts w:ascii="Arial" w:hAnsi="Arial" w:cs="Arial"/>
          <w:b/>
          <w:sz w:val="28"/>
        </w:rPr>
      </w:pPr>
      <w:r w:rsidRPr="00710FB9">
        <w:rPr>
          <w:rFonts w:ascii="Arial" w:hAnsi="Arial" w:cs="Arial"/>
          <w:b/>
          <w:sz w:val="28"/>
        </w:rPr>
        <w:t>Table 3.7</w:t>
      </w:r>
      <w:r w:rsidR="00AF23E4" w:rsidRPr="00710FB9">
        <w:rPr>
          <w:rFonts w:ascii="Arial" w:hAnsi="Arial" w:cs="Arial"/>
          <w:b/>
          <w:sz w:val="28"/>
        </w:rPr>
        <w:t xml:space="preserve">: Total allocations by local government district </w:t>
      </w:r>
      <w:r w:rsidR="00F4089B">
        <w:rPr>
          <w:rFonts w:ascii="Arial" w:hAnsi="Arial" w:cs="Arial"/>
          <w:b/>
          <w:sz w:val="28"/>
        </w:rPr>
        <w:t>2025-26</w:t>
      </w:r>
    </w:p>
    <w:p w14:paraId="1A9522FE" w14:textId="77777777" w:rsidR="00AF23E4" w:rsidRDefault="00AF23E4" w:rsidP="00710FB9">
      <w:pPr>
        <w:spacing w:before="120" w:after="120"/>
        <w:jc w:val="both"/>
        <w:rPr>
          <w:rFonts w:ascii="Arial" w:hAnsi="Arial" w:cs="Arial"/>
          <w:b/>
          <w:color w:val="7030A0"/>
          <w:sz w:val="24"/>
          <w:szCs w:val="24"/>
        </w:rPr>
      </w:pPr>
      <w:r>
        <w:rPr>
          <w:rFonts w:ascii="Arial" w:hAnsi="Arial" w:cs="Arial"/>
          <w:b/>
          <w:color w:val="7030A0"/>
          <w:sz w:val="24"/>
          <w:szCs w:val="24"/>
        </w:rPr>
        <w:t>Data Quality</w:t>
      </w:r>
    </w:p>
    <w:p w14:paraId="666C39D8" w14:textId="77777777" w:rsidR="00AF23E4" w:rsidRDefault="00AF23E4" w:rsidP="00710FB9">
      <w:pPr>
        <w:spacing w:before="120" w:after="120"/>
        <w:jc w:val="both"/>
        <w:rPr>
          <w:rFonts w:ascii="Arial" w:hAnsi="Arial" w:cs="Arial"/>
          <w:i/>
          <w:color w:val="7030A0"/>
          <w:sz w:val="24"/>
          <w:szCs w:val="24"/>
        </w:rPr>
      </w:pPr>
      <w:r>
        <w:rPr>
          <w:rFonts w:ascii="Arial" w:hAnsi="Arial" w:cs="Arial"/>
          <w:i/>
          <w:color w:val="7030A0"/>
          <w:sz w:val="24"/>
          <w:szCs w:val="24"/>
        </w:rPr>
        <w:t>Relevance</w:t>
      </w:r>
    </w:p>
    <w:p w14:paraId="60F40FEC" w14:textId="77777777" w:rsidR="00AF23E4" w:rsidRDefault="00AF23E4" w:rsidP="00710FB9">
      <w:pPr>
        <w:pStyle w:val="PlainText"/>
        <w:spacing w:before="120" w:after="120" w:line="259" w:lineRule="auto"/>
        <w:rPr>
          <w:rFonts w:ascii="Arial" w:hAnsi="Arial" w:cs="Arial"/>
          <w:u w:val="single"/>
        </w:rPr>
      </w:pPr>
      <w:r>
        <w:rPr>
          <w:rFonts w:ascii="Arial" w:hAnsi="Arial" w:cs="Arial"/>
          <w:u w:val="single"/>
        </w:rPr>
        <w:t>Table 3.5</w:t>
      </w:r>
    </w:p>
    <w:p w14:paraId="0E13C5A0" w14:textId="22FF933C" w:rsidR="00AF23E4" w:rsidRDefault="00AF23E4" w:rsidP="00710FB9">
      <w:pPr>
        <w:spacing w:before="120" w:after="120"/>
        <w:jc w:val="both"/>
        <w:rPr>
          <w:rFonts w:ascii="Arial" w:hAnsi="Arial" w:cs="Arial"/>
        </w:rPr>
      </w:pPr>
      <w:r>
        <w:rPr>
          <w:rFonts w:ascii="Arial" w:hAnsi="Arial" w:cs="Arial"/>
        </w:rPr>
        <w:t xml:space="preserve">Table 3.5 reports on all applications recorded on the Common Waiting List at specified dates, and all allocations (offers accepted) made through the Common Selection Scheme in Northern Ireland during the financial year. The Housing Executive holds data on all housing applications and allocations made through the Common Selection Scheme in the Housing Management System (HMS). The waiting list application figures cover new applicants only i.e. </w:t>
      </w:r>
      <w:r w:rsidR="003773F7">
        <w:rPr>
          <w:rFonts w:ascii="Arial" w:hAnsi="Arial" w:cs="Arial"/>
        </w:rPr>
        <w:t>households</w:t>
      </w:r>
      <w:r>
        <w:rPr>
          <w:rFonts w:ascii="Arial" w:hAnsi="Arial" w:cs="Arial"/>
        </w:rPr>
        <w:t xml:space="preserve"> with no existing NIHE/Housing Association tenancy; current tenants seeking a transfer are not included.</w:t>
      </w:r>
      <w:r w:rsidR="003773F7">
        <w:rPr>
          <w:rFonts w:ascii="Arial" w:hAnsi="Arial" w:cs="Arial"/>
        </w:rPr>
        <w:t xml:space="preserve"> </w:t>
      </w:r>
      <w:r>
        <w:rPr>
          <w:rFonts w:ascii="Arial" w:hAnsi="Arial" w:cs="Arial"/>
        </w:rPr>
        <w:t>The allocations figures contain and are broken down into new applicants and transfers from NIHE/ Housing Associations. Users of the table are those with an interest in the housing sector; including government officials, the voluntary sector, charities, the private sector and others.</w:t>
      </w:r>
    </w:p>
    <w:p w14:paraId="27914C64" w14:textId="77777777" w:rsidR="00AF23E4" w:rsidRDefault="0032317A"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3.6</w:t>
      </w:r>
    </w:p>
    <w:p w14:paraId="0C2C53D3" w14:textId="77777777" w:rsidR="00AF23E4" w:rsidRDefault="0032317A" w:rsidP="00710FB9">
      <w:pPr>
        <w:spacing w:before="120" w:after="120"/>
        <w:jc w:val="both"/>
        <w:rPr>
          <w:rFonts w:ascii="Arial" w:hAnsi="Arial" w:cs="Arial"/>
        </w:rPr>
      </w:pPr>
      <w:r>
        <w:rPr>
          <w:rFonts w:ascii="Arial" w:hAnsi="Arial" w:cs="Arial"/>
        </w:rPr>
        <w:t xml:space="preserve">Table 3.6 </w:t>
      </w:r>
      <w:r w:rsidR="00AF23E4">
        <w:rPr>
          <w:rFonts w:ascii="Arial" w:hAnsi="Arial" w:cs="Arial"/>
        </w:rPr>
        <w:t>report</w:t>
      </w:r>
      <w:r>
        <w:rPr>
          <w:rFonts w:ascii="Arial" w:hAnsi="Arial" w:cs="Arial"/>
        </w:rPr>
        <w:t>s</w:t>
      </w:r>
      <w:r w:rsidR="00AF23E4">
        <w:rPr>
          <w:rFonts w:ascii="Arial" w:hAnsi="Arial" w:cs="Arial"/>
        </w:rPr>
        <w:t xml:space="preserve"> on all households that have applied for social housing through the Common Selection Scheme in Northern Ireland at financial year-end. The Housing Executive holds data on all housing applications made through the Common Selection Scheme in the Housing </w:t>
      </w:r>
      <w:r w:rsidR="00AF23E4">
        <w:rPr>
          <w:rFonts w:ascii="Arial" w:hAnsi="Arial" w:cs="Arial"/>
        </w:rPr>
        <w:lastRenderedPageBreak/>
        <w:t>Management System (HMS). The waiting list application figures cover new applicants only i.e. those with no existing NIHE/Housing Association tenancy; current tenants seeking a transfer are not included.  Users of the table are those with an interest in the housing sector; including government officials, the voluntary sector, charities, the private sector and others.</w:t>
      </w:r>
    </w:p>
    <w:p w14:paraId="1B9881AC"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3.7</w:t>
      </w:r>
    </w:p>
    <w:p w14:paraId="44B369EB" w14:textId="1F7AC1EA"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Table 3.7 reports on all allocations (offers accepted) made through the Common Selection Scheme in Northern Ireland between </w:t>
      </w:r>
      <w:r w:rsidR="00D04780">
        <w:rPr>
          <w:rFonts w:ascii="Arial" w:hAnsi="Arial" w:cs="Arial"/>
          <w:sz w:val="22"/>
          <w:szCs w:val="22"/>
        </w:rPr>
        <w:t xml:space="preserve">1 </w:t>
      </w:r>
      <w:r>
        <w:rPr>
          <w:rFonts w:ascii="Arial" w:hAnsi="Arial" w:cs="Arial"/>
          <w:sz w:val="22"/>
          <w:szCs w:val="22"/>
        </w:rPr>
        <w:t>April  and 31</w:t>
      </w:r>
      <w:r w:rsidR="00647F27">
        <w:rPr>
          <w:rFonts w:ascii="Arial" w:hAnsi="Arial" w:cs="Arial"/>
          <w:sz w:val="22"/>
          <w:szCs w:val="22"/>
        </w:rPr>
        <w:t xml:space="preserve"> March</w:t>
      </w:r>
      <w:r w:rsidR="009F7888">
        <w:rPr>
          <w:rFonts w:ascii="Arial" w:hAnsi="Arial" w:cs="Arial"/>
          <w:sz w:val="22"/>
          <w:szCs w:val="22"/>
        </w:rPr>
        <w:t xml:space="preserve"> each year</w:t>
      </w:r>
      <w:r w:rsidR="002A2451">
        <w:rPr>
          <w:rFonts w:ascii="Arial" w:hAnsi="Arial" w:cs="Arial"/>
          <w:sz w:val="22"/>
          <w:szCs w:val="22"/>
        </w:rPr>
        <w:t>.</w:t>
      </w:r>
      <w:r>
        <w:rPr>
          <w:rFonts w:ascii="Arial" w:hAnsi="Arial" w:cs="Arial"/>
          <w:sz w:val="22"/>
          <w:szCs w:val="22"/>
        </w:rPr>
        <w:t xml:space="preserve"> The Housing Executive holds data on all housing applications and allocations made through the Common Selection Scheme in the Housing Management System (HMS).  Users of the table are those with an interest in the housing sector; including government officials, the voluntary sector, charities, the private sector and others.</w:t>
      </w:r>
    </w:p>
    <w:p w14:paraId="31F32C52" w14:textId="77777777" w:rsidR="00AF23E4" w:rsidRDefault="00AF23E4" w:rsidP="00710FB9">
      <w:pPr>
        <w:autoSpaceDE w:val="0"/>
        <w:autoSpaceDN w:val="0"/>
        <w:adjustRightInd w:val="0"/>
        <w:spacing w:before="120" w:after="120"/>
        <w:rPr>
          <w:rFonts w:ascii="Arial" w:hAnsi="Arial" w:cs="Arial"/>
          <w:i/>
          <w:iCs/>
          <w:color w:val="7030A0"/>
          <w:sz w:val="24"/>
          <w:szCs w:val="24"/>
        </w:rPr>
      </w:pPr>
      <w:r>
        <w:rPr>
          <w:rFonts w:ascii="Arial" w:hAnsi="Arial" w:cs="Arial"/>
          <w:i/>
          <w:iCs/>
          <w:color w:val="7030A0"/>
          <w:sz w:val="24"/>
          <w:szCs w:val="24"/>
        </w:rPr>
        <w:t>Accessibility and Clarity</w:t>
      </w:r>
    </w:p>
    <w:p w14:paraId="58F8185C" w14:textId="77777777"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i/>
          <w:iCs/>
        </w:rPr>
      </w:pPr>
      <w:r>
        <w:rPr>
          <w:rFonts w:ascii="Arial" w:hAnsi="Arial" w:cs="Arial"/>
          <w:sz w:val="22"/>
          <w:szCs w:val="22"/>
        </w:rPr>
        <w:t>The tables are published in the DfC’s</w:t>
      </w:r>
      <w:r>
        <w:rPr>
          <w:rFonts w:ascii="Arial" w:hAnsi="Arial" w:cs="Arial"/>
          <w:color w:val="FF0000"/>
          <w:sz w:val="22"/>
          <w:szCs w:val="22"/>
        </w:rPr>
        <w:t xml:space="preserve"> </w:t>
      </w:r>
      <w:r>
        <w:rPr>
          <w:rFonts w:ascii="Arial" w:hAnsi="Arial" w:cs="Arial"/>
          <w:sz w:val="22"/>
          <w:szCs w:val="22"/>
        </w:rPr>
        <w:t xml:space="preserve">annual Housing Statistics, where they are available in pdf, </w:t>
      </w:r>
      <w:r w:rsidR="00730481">
        <w:rPr>
          <w:rFonts w:ascii="Arial" w:hAnsi="Arial" w:cs="Arial"/>
          <w:sz w:val="22"/>
          <w:szCs w:val="22"/>
        </w:rPr>
        <w:t>open source</w:t>
      </w:r>
      <w:r>
        <w:rPr>
          <w:rFonts w:ascii="Arial" w:hAnsi="Arial" w:cs="Arial"/>
          <w:sz w:val="22"/>
          <w:szCs w:val="22"/>
        </w:rPr>
        <w:t xml:space="preserve"> and Word format. Requests for the information in different formats can be made by contacting the Department for Communities. Supporting and/or additional information may be available on request from the Housing Executive.</w:t>
      </w:r>
    </w:p>
    <w:p w14:paraId="40CB61B4"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color w:val="7030A0"/>
          <w:sz w:val="22"/>
          <w:szCs w:val="22"/>
        </w:rPr>
      </w:pPr>
      <w:r>
        <w:rPr>
          <w:rFonts w:ascii="Arial" w:hAnsi="Arial" w:cs="Arial"/>
          <w:i/>
          <w:iCs/>
          <w:color w:val="7030A0"/>
        </w:rPr>
        <w:t>Accuracy</w:t>
      </w:r>
    </w:p>
    <w:p w14:paraId="55701FE4"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Information is extracted from the Housing Management System in the form of reports produced through ‘Business Objects’. Waiting list and allocations data are also periodically downloaded via Excel and validated to ensure that the data are reliable and robust for use.  The Housing Executive checks all data carefully, ensuring a high level of quality assurance.  However, users should be aware that figures are extracted from a live database on a specific date.</w:t>
      </w:r>
    </w:p>
    <w:p w14:paraId="49843E13" w14:textId="77777777" w:rsidR="00AF23E4" w:rsidRDefault="00AF23E4" w:rsidP="00710FB9">
      <w:pPr>
        <w:pStyle w:val="PlainText"/>
        <w:spacing w:before="120" w:after="120" w:line="259" w:lineRule="auto"/>
        <w:jc w:val="both"/>
        <w:rPr>
          <w:rFonts w:ascii="Arial" w:hAnsi="Arial" w:cs="Arial"/>
          <w:color w:val="7030A0"/>
          <w:sz w:val="24"/>
          <w:szCs w:val="24"/>
        </w:rPr>
      </w:pPr>
      <w:r>
        <w:rPr>
          <w:rFonts w:ascii="Arial" w:hAnsi="Arial" w:cs="Arial"/>
          <w:i/>
          <w:iCs/>
          <w:color w:val="7030A0"/>
          <w:sz w:val="24"/>
          <w:szCs w:val="24"/>
        </w:rPr>
        <w:t>Timeliness</w:t>
      </w:r>
    </w:p>
    <w:p w14:paraId="714E4D58" w14:textId="77777777"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Statistics drawn from the Common Waiting List are published on an annual basis.</w:t>
      </w:r>
    </w:p>
    <w:p w14:paraId="63FA1F21" w14:textId="77777777" w:rsidR="00AF23E4" w:rsidRDefault="00AF23E4" w:rsidP="00710FB9">
      <w:pPr>
        <w:spacing w:before="120" w:after="120"/>
        <w:rPr>
          <w:rFonts w:ascii="Arial" w:hAnsi="Arial" w:cs="Arial"/>
          <w:i/>
          <w:iCs/>
          <w:color w:val="7030A0"/>
          <w:sz w:val="24"/>
          <w:szCs w:val="24"/>
        </w:rPr>
      </w:pPr>
      <w:r>
        <w:rPr>
          <w:rFonts w:ascii="Arial" w:hAnsi="Arial" w:cs="Arial"/>
          <w:i/>
          <w:iCs/>
          <w:color w:val="7030A0"/>
          <w:sz w:val="24"/>
          <w:szCs w:val="24"/>
        </w:rPr>
        <w:t>Coherence and Comparability</w:t>
      </w:r>
    </w:p>
    <w:p w14:paraId="0D892010" w14:textId="77777777" w:rsidR="00AF23E4" w:rsidRDefault="00AF23E4" w:rsidP="00710FB9">
      <w:pPr>
        <w:spacing w:before="120" w:after="120"/>
        <w:rPr>
          <w:rFonts w:ascii="Arial" w:hAnsi="Arial" w:cs="Arial"/>
          <w:iCs/>
          <w:u w:val="single"/>
        </w:rPr>
      </w:pPr>
      <w:r>
        <w:rPr>
          <w:rFonts w:ascii="Arial" w:hAnsi="Arial" w:cs="Arial"/>
          <w:iCs/>
          <w:u w:val="single"/>
        </w:rPr>
        <w:t>Table 3.5</w:t>
      </w:r>
    </w:p>
    <w:p w14:paraId="609FCEF1" w14:textId="5E0E30A8"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Figures up to and including 2010-11 were drawn from the ‘PRAWL’ operational IT system.  PRAWL </w:t>
      </w:r>
      <w:r w:rsidR="00D04780">
        <w:rPr>
          <w:rFonts w:ascii="Arial" w:hAnsi="Arial" w:cs="Arial"/>
          <w:sz w:val="22"/>
          <w:szCs w:val="22"/>
        </w:rPr>
        <w:t xml:space="preserve">was subsequently </w:t>
      </w:r>
      <w:r>
        <w:rPr>
          <w:rFonts w:ascii="Arial" w:hAnsi="Arial" w:cs="Arial"/>
          <w:sz w:val="22"/>
          <w:szCs w:val="22"/>
        </w:rPr>
        <w:t>replaced by the Housing Management System (HMS), which went live in July 2011. Total figures for the 2011-12 year (i.e. allocations) are therefore drawn from both systems. Figures for 2011-12 year-end (i.e. waiting list data) were extracted at 1</w:t>
      </w:r>
      <w:r>
        <w:rPr>
          <w:rFonts w:ascii="Arial" w:hAnsi="Arial" w:cs="Arial"/>
          <w:sz w:val="22"/>
          <w:szCs w:val="22"/>
          <w:vertAlign w:val="superscript"/>
        </w:rPr>
        <w:t>st</w:t>
      </w:r>
      <w:r>
        <w:rPr>
          <w:rFonts w:ascii="Arial" w:hAnsi="Arial" w:cs="Arial"/>
          <w:sz w:val="22"/>
          <w:szCs w:val="22"/>
        </w:rPr>
        <w:t xml:space="preserve"> May 2012, as opposed to 31</w:t>
      </w:r>
      <w:r>
        <w:rPr>
          <w:rFonts w:ascii="Arial" w:hAnsi="Arial" w:cs="Arial"/>
          <w:sz w:val="22"/>
          <w:szCs w:val="22"/>
          <w:vertAlign w:val="superscript"/>
        </w:rPr>
        <w:t>st</w:t>
      </w:r>
      <w:r>
        <w:rPr>
          <w:rFonts w:ascii="Arial" w:hAnsi="Arial" w:cs="Arial"/>
          <w:sz w:val="22"/>
          <w:szCs w:val="22"/>
        </w:rPr>
        <w:t xml:space="preserve"> March in other years. </w:t>
      </w:r>
    </w:p>
    <w:p w14:paraId="6DD2D82D" w14:textId="419C4B3C" w:rsidR="00AF23E4" w:rsidRPr="00AF23E4" w:rsidRDefault="00AF23E4" w:rsidP="00710FB9">
      <w:pPr>
        <w:spacing w:before="120" w:after="120"/>
        <w:jc w:val="both"/>
        <w:rPr>
          <w:rFonts w:ascii="Arial" w:hAnsi="Arial" w:cs="Arial"/>
        </w:rPr>
      </w:pPr>
      <w:r>
        <w:rPr>
          <w:rFonts w:ascii="Arial" w:hAnsi="Arial" w:cs="Arial"/>
        </w:rPr>
        <w:t>Figures for allocations for 2011-12 onwards are fully comparable with published statistics for previous years. However</w:t>
      </w:r>
      <w:r w:rsidR="00D04780">
        <w:rPr>
          <w:rFonts w:ascii="Arial" w:hAnsi="Arial" w:cs="Arial"/>
        </w:rPr>
        <w:t>,</w:t>
      </w:r>
      <w:r>
        <w:rPr>
          <w:rFonts w:ascii="Arial" w:hAnsi="Arial" w:cs="Arial"/>
        </w:rPr>
        <w:t xml:space="preserve"> due to the introduction of the new Housing Management system and a change to the annual renewal process for applicants</w:t>
      </w:r>
      <w:r w:rsidR="00D04780">
        <w:rPr>
          <w:rFonts w:ascii="Arial" w:hAnsi="Arial" w:cs="Arial"/>
        </w:rPr>
        <w:t>,</w:t>
      </w:r>
      <w:r>
        <w:rPr>
          <w:rFonts w:ascii="Arial" w:hAnsi="Arial" w:cs="Arial"/>
        </w:rPr>
        <w:t xml:space="preserve"> the number of waiting list applicants for 2011-12 is considered to be a significant undercount.</w:t>
      </w:r>
    </w:p>
    <w:p w14:paraId="4CBC3460"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w:t>
      </w:r>
      <w:r w:rsidR="0032317A">
        <w:rPr>
          <w:rFonts w:ascii="Arial" w:hAnsi="Arial" w:cs="Arial"/>
          <w:sz w:val="22"/>
          <w:szCs w:val="22"/>
          <w:u w:val="single"/>
        </w:rPr>
        <w:t>6</w:t>
      </w:r>
    </w:p>
    <w:p w14:paraId="1635BE5E" w14:textId="416B4F66" w:rsidR="002716CC" w:rsidRPr="00A0187F" w:rsidRDefault="002716CC" w:rsidP="002716CC">
      <w:pPr>
        <w:rPr>
          <w:rFonts w:ascii="Arial" w:hAnsi="Arial" w:cs="Arial"/>
          <w:lang w:val="en-US"/>
        </w:rPr>
      </w:pPr>
      <w:r w:rsidRPr="00A0187F">
        <w:rPr>
          <w:rFonts w:ascii="Arial" w:hAnsi="Arial" w:cs="Arial"/>
          <w:lang w:val="en-US"/>
        </w:rPr>
        <w:t xml:space="preserve">Figures are drawn from the NIHE Housing Management System (HMS), </w:t>
      </w:r>
      <w:r w:rsidRPr="00A0187F">
        <w:rPr>
          <w:rFonts w:ascii="Arial" w:hAnsi="Arial" w:cs="Arial"/>
        </w:rPr>
        <w:t>which went live in July 2011,</w:t>
      </w:r>
      <w:r w:rsidRPr="00A0187F">
        <w:rPr>
          <w:rFonts w:ascii="Arial" w:hAnsi="Arial" w:cs="Arial"/>
          <w:lang w:val="en-US"/>
        </w:rPr>
        <w:t xml:space="preserve"> and relate to 31 March each year. </w:t>
      </w:r>
    </w:p>
    <w:p w14:paraId="00203B7F" w14:textId="794F9138" w:rsidR="00AF23E4" w:rsidRPr="00A0187F"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sidRPr="00A0187F">
        <w:rPr>
          <w:rFonts w:ascii="Arial" w:hAnsi="Arial" w:cs="Arial"/>
          <w:sz w:val="22"/>
          <w:szCs w:val="22"/>
          <w:u w:val="single"/>
        </w:rPr>
        <w:t>Table 3</w:t>
      </w:r>
      <w:r w:rsidR="00D04780" w:rsidRPr="00A0187F">
        <w:rPr>
          <w:rFonts w:ascii="Arial" w:hAnsi="Arial" w:cs="Arial"/>
          <w:sz w:val="22"/>
          <w:szCs w:val="22"/>
          <w:u w:val="single"/>
        </w:rPr>
        <w:t>.7</w:t>
      </w:r>
    </w:p>
    <w:p w14:paraId="78BFA05A" w14:textId="6C930C5A" w:rsidR="002716CC" w:rsidRPr="00A0187F" w:rsidRDefault="002716CC" w:rsidP="002716CC">
      <w:pPr>
        <w:rPr>
          <w:rFonts w:ascii="Arial" w:hAnsi="Arial" w:cs="Arial"/>
          <w:lang w:val="en-US"/>
        </w:rPr>
      </w:pPr>
      <w:r w:rsidRPr="00A0187F">
        <w:rPr>
          <w:rFonts w:ascii="Arial" w:hAnsi="Arial" w:cs="Arial"/>
          <w:lang w:val="en-US"/>
        </w:rPr>
        <w:t xml:space="preserve">Figures are drawn from the NIHE Housing Management System (HMS), </w:t>
      </w:r>
      <w:r w:rsidRPr="00A0187F">
        <w:rPr>
          <w:rFonts w:ascii="Arial" w:hAnsi="Arial" w:cs="Arial"/>
        </w:rPr>
        <w:t>which went live in July 2011,</w:t>
      </w:r>
      <w:r w:rsidRPr="00A0187F">
        <w:rPr>
          <w:rFonts w:ascii="Arial" w:hAnsi="Arial" w:cs="Arial"/>
          <w:lang w:val="en-US"/>
        </w:rPr>
        <w:t xml:space="preserve"> and are based on offers accepted </w:t>
      </w:r>
      <w:r w:rsidR="009F7888">
        <w:rPr>
          <w:rFonts w:ascii="Arial" w:hAnsi="Arial" w:cs="Arial"/>
          <w:lang w:val="en-US"/>
        </w:rPr>
        <w:t xml:space="preserve">between </w:t>
      </w:r>
      <w:r w:rsidRPr="00A0187F">
        <w:rPr>
          <w:rFonts w:ascii="Arial" w:hAnsi="Arial" w:cs="Arial"/>
          <w:lang w:val="en-US"/>
        </w:rPr>
        <w:t xml:space="preserve">1 April to 31 March </w:t>
      </w:r>
      <w:r w:rsidR="009F7888">
        <w:rPr>
          <w:rFonts w:ascii="Arial" w:hAnsi="Arial" w:cs="Arial"/>
          <w:lang w:val="en-US"/>
        </w:rPr>
        <w:t>each year</w:t>
      </w:r>
      <w:r w:rsidR="002A2451">
        <w:rPr>
          <w:rFonts w:ascii="Arial" w:hAnsi="Arial" w:cs="Arial"/>
          <w:lang w:val="en-US"/>
        </w:rPr>
        <w:t>.</w:t>
      </w:r>
    </w:p>
    <w:p w14:paraId="16758D43" w14:textId="2CC121FD" w:rsidR="00AF23E4" w:rsidRPr="00767BD6" w:rsidRDefault="00AF23E4" w:rsidP="00710FB9">
      <w:pPr>
        <w:pStyle w:val="Style1"/>
        <w:numPr>
          <w:ilvl w:val="0"/>
          <w:numId w:val="0"/>
        </w:numPr>
        <w:tabs>
          <w:tab w:val="left" w:pos="720"/>
        </w:tabs>
        <w:spacing w:before="240" w:after="160" w:line="259" w:lineRule="auto"/>
        <w:rPr>
          <w:rFonts w:ascii="Arial" w:hAnsi="Arial" w:cs="Arial"/>
          <w:b/>
          <w:sz w:val="28"/>
        </w:rPr>
      </w:pPr>
      <w:r w:rsidRPr="00767BD6">
        <w:rPr>
          <w:rFonts w:ascii="Arial" w:hAnsi="Arial" w:cs="Arial"/>
          <w:b/>
          <w:sz w:val="28"/>
        </w:rPr>
        <w:lastRenderedPageBreak/>
        <w:t xml:space="preserve">Table 3.8: Households presenting as homeless by reason 2004-05 to </w:t>
      </w:r>
      <w:r w:rsidR="00F4089B">
        <w:rPr>
          <w:rFonts w:ascii="Arial" w:hAnsi="Arial" w:cs="Arial"/>
          <w:b/>
          <w:sz w:val="28"/>
        </w:rPr>
        <w:t>2025-26</w:t>
      </w:r>
    </w:p>
    <w:p w14:paraId="36B8FE29" w14:textId="5B6D0FDD" w:rsidR="00AF23E4" w:rsidRPr="00767BD6" w:rsidRDefault="00AF23E4" w:rsidP="00710FB9">
      <w:pPr>
        <w:pStyle w:val="Style1"/>
        <w:numPr>
          <w:ilvl w:val="0"/>
          <w:numId w:val="0"/>
        </w:numPr>
        <w:tabs>
          <w:tab w:val="left" w:pos="720"/>
        </w:tabs>
        <w:spacing w:before="240" w:after="160" w:line="259" w:lineRule="auto"/>
        <w:rPr>
          <w:rFonts w:ascii="Arial" w:hAnsi="Arial" w:cs="Arial"/>
          <w:b/>
          <w:sz w:val="28"/>
        </w:rPr>
      </w:pPr>
      <w:r w:rsidRPr="00767BD6">
        <w:rPr>
          <w:rFonts w:ascii="Arial" w:hAnsi="Arial" w:cs="Arial"/>
          <w:b/>
          <w:sz w:val="28"/>
        </w:rPr>
        <w:t xml:space="preserve">Table 3.9: Households presenting as homeless by household type, 2004-05 to </w:t>
      </w:r>
      <w:r w:rsidR="00F4089B">
        <w:rPr>
          <w:rFonts w:ascii="Arial" w:hAnsi="Arial" w:cs="Arial"/>
          <w:b/>
          <w:sz w:val="28"/>
        </w:rPr>
        <w:t>2025-26</w:t>
      </w:r>
    </w:p>
    <w:p w14:paraId="71FB34EC" w14:textId="4CF4C907" w:rsidR="00AF23E4" w:rsidRPr="00767BD6" w:rsidRDefault="00AF23E4" w:rsidP="00710FB9">
      <w:pPr>
        <w:pStyle w:val="Style1"/>
        <w:numPr>
          <w:ilvl w:val="0"/>
          <w:numId w:val="0"/>
        </w:numPr>
        <w:tabs>
          <w:tab w:val="left" w:pos="720"/>
        </w:tabs>
        <w:spacing w:before="240" w:after="160" w:line="259" w:lineRule="auto"/>
        <w:rPr>
          <w:rFonts w:ascii="Arial" w:hAnsi="Arial" w:cs="Arial"/>
          <w:b/>
          <w:sz w:val="28"/>
        </w:rPr>
      </w:pPr>
      <w:r w:rsidRPr="00767BD6">
        <w:rPr>
          <w:rFonts w:ascii="Arial" w:hAnsi="Arial" w:cs="Arial"/>
          <w:b/>
          <w:sz w:val="28"/>
        </w:rPr>
        <w:t xml:space="preserve">Table 3.10: Households presenting as homeless by outcome, 2012-13 to </w:t>
      </w:r>
      <w:r w:rsidR="00F4089B">
        <w:rPr>
          <w:rFonts w:ascii="Arial" w:hAnsi="Arial" w:cs="Arial"/>
          <w:b/>
          <w:sz w:val="28"/>
        </w:rPr>
        <w:t>2025-26</w:t>
      </w:r>
    </w:p>
    <w:p w14:paraId="4D2A2D42" w14:textId="1AC91871" w:rsidR="00AF23E4" w:rsidRDefault="00AF23E4" w:rsidP="00710FB9">
      <w:pPr>
        <w:pStyle w:val="Style1"/>
        <w:numPr>
          <w:ilvl w:val="0"/>
          <w:numId w:val="0"/>
        </w:numPr>
        <w:tabs>
          <w:tab w:val="left" w:pos="720"/>
        </w:tabs>
        <w:spacing w:before="240" w:after="160" w:line="259" w:lineRule="auto"/>
        <w:rPr>
          <w:rFonts w:ascii="Arial" w:hAnsi="Arial" w:cs="Arial"/>
          <w:b/>
          <w:sz w:val="28"/>
        </w:rPr>
      </w:pPr>
      <w:r w:rsidRPr="00767BD6">
        <w:rPr>
          <w:rFonts w:ascii="Arial" w:hAnsi="Arial" w:cs="Arial"/>
          <w:b/>
          <w:sz w:val="28"/>
        </w:rPr>
        <w:t xml:space="preserve">Table 3.11: Homeless households accepted as full duty applicants by reason 2004-05 to </w:t>
      </w:r>
      <w:r w:rsidR="00F4089B">
        <w:rPr>
          <w:rFonts w:ascii="Arial" w:hAnsi="Arial" w:cs="Arial"/>
          <w:b/>
          <w:sz w:val="28"/>
        </w:rPr>
        <w:t>2025-26</w:t>
      </w:r>
    </w:p>
    <w:p w14:paraId="1D491164" w14:textId="45AE8F1F" w:rsidR="00C87744" w:rsidRPr="00710FB9" w:rsidRDefault="00C87744" w:rsidP="00C87744">
      <w:pPr>
        <w:pStyle w:val="Style1"/>
        <w:numPr>
          <w:ilvl w:val="0"/>
          <w:numId w:val="0"/>
        </w:numPr>
        <w:tabs>
          <w:tab w:val="left" w:pos="720"/>
        </w:tabs>
        <w:spacing w:before="240" w:after="160" w:line="256" w:lineRule="auto"/>
        <w:rPr>
          <w:rFonts w:ascii="Arial" w:hAnsi="Arial" w:cs="Arial"/>
          <w:b/>
          <w:sz w:val="28"/>
        </w:rPr>
      </w:pPr>
      <w:r>
        <w:rPr>
          <w:rFonts w:ascii="Arial" w:hAnsi="Arial" w:cs="Arial"/>
          <w:b/>
          <w:sz w:val="28"/>
        </w:rPr>
        <w:t xml:space="preserve">Table 3.12: Households accepted as homeless by household type, 2018-19 to </w:t>
      </w:r>
      <w:r w:rsidR="00F4089B">
        <w:rPr>
          <w:rFonts w:ascii="Arial" w:hAnsi="Arial" w:cs="Arial"/>
          <w:b/>
          <w:sz w:val="28"/>
        </w:rPr>
        <w:t>2025-26</w:t>
      </w:r>
    </w:p>
    <w:p w14:paraId="661709A0" w14:textId="77777777" w:rsidR="00AF23E4" w:rsidRDefault="00AF23E4" w:rsidP="00710FB9">
      <w:pPr>
        <w:pStyle w:val="Default"/>
        <w:spacing w:before="120" w:after="120" w:line="259" w:lineRule="auto"/>
        <w:ind w:right="20"/>
        <w:jc w:val="both"/>
        <w:rPr>
          <w:color w:val="7030A0"/>
        </w:rPr>
      </w:pPr>
      <w:r>
        <w:rPr>
          <w:b/>
          <w:bCs/>
          <w:color w:val="7030A0"/>
        </w:rPr>
        <w:t xml:space="preserve">Homelessness </w:t>
      </w:r>
    </w:p>
    <w:p w14:paraId="1CD9385D" w14:textId="77777777" w:rsidR="00AF23E4" w:rsidRDefault="00AF23E4" w:rsidP="00710FB9">
      <w:pPr>
        <w:pStyle w:val="Default"/>
        <w:spacing w:before="120" w:after="120" w:line="259" w:lineRule="auto"/>
        <w:ind w:right="20"/>
        <w:jc w:val="both"/>
        <w:rPr>
          <w:sz w:val="22"/>
          <w:szCs w:val="22"/>
        </w:rPr>
      </w:pPr>
      <w:r>
        <w:rPr>
          <w:sz w:val="22"/>
          <w:szCs w:val="22"/>
        </w:rPr>
        <w:t xml:space="preserve">Statistics on Homelessness are sourced from the Northern Ireland Housing Executive (NIHE). Under the Housing (NI) Order 1988, NIHE has a statutory responsibility to secure permanent accommodation for persons who are unintentionally homeless and in priority need, to secure temporary accommodation in a variety of circumstances and to provide advice and assistance to those who are homeless or threatened with homelessness. For further details see: </w:t>
      </w:r>
    </w:p>
    <w:p w14:paraId="5453F737" w14:textId="77777777" w:rsidR="00AF23E4" w:rsidRDefault="00B620CC" w:rsidP="00710FB9">
      <w:pPr>
        <w:pStyle w:val="Default"/>
        <w:spacing w:before="120" w:after="120" w:line="259" w:lineRule="auto"/>
        <w:jc w:val="both"/>
        <w:rPr>
          <w:sz w:val="22"/>
          <w:szCs w:val="22"/>
        </w:rPr>
      </w:pPr>
      <w:hyperlink r:id="rId19" w:history="1">
        <w:r>
          <w:rPr>
            <w:rStyle w:val="Hyperlink"/>
            <w:sz w:val="22"/>
            <w:szCs w:val="22"/>
          </w:rPr>
          <w:t>Homelessness: Key Issues</w:t>
        </w:r>
      </w:hyperlink>
      <w:r w:rsidR="00AF23E4">
        <w:rPr>
          <w:sz w:val="22"/>
          <w:szCs w:val="22"/>
        </w:rPr>
        <w:t xml:space="preserve">. </w:t>
      </w:r>
    </w:p>
    <w:p w14:paraId="343FD1FF" w14:textId="77777777" w:rsidR="00AF23E4" w:rsidRDefault="00AF23E4" w:rsidP="00710FB9">
      <w:pPr>
        <w:pStyle w:val="Default"/>
        <w:spacing w:before="120" w:after="120" w:line="259" w:lineRule="auto"/>
        <w:jc w:val="both"/>
        <w:rPr>
          <w:sz w:val="22"/>
          <w:szCs w:val="22"/>
        </w:rPr>
      </w:pPr>
      <w:r>
        <w:rPr>
          <w:sz w:val="22"/>
          <w:szCs w:val="22"/>
        </w:rPr>
        <w:t xml:space="preserve">Information on the NIHE Homelessness Strategy can be found at the following link: </w:t>
      </w:r>
    </w:p>
    <w:p w14:paraId="0F67F563" w14:textId="77777777" w:rsidR="00AF23E4" w:rsidRDefault="00B620CC" w:rsidP="00710FB9">
      <w:pPr>
        <w:pStyle w:val="Default"/>
        <w:spacing w:before="120" w:after="120" w:line="259" w:lineRule="auto"/>
        <w:jc w:val="both"/>
        <w:rPr>
          <w:sz w:val="22"/>
          <w:szCs w:val="22"/>
        </w:rPr>
      </w:pPr>
      <w:hyperlink r:id="rId20" w:history="1">
        <w:r>
          <w:rPr>
            <w:rStyle w:val="Hyperlink"/>
            <w:sz w:val="22"/>
            <w:szCs w:val="22"/>
          </w:rPr>
          <w:t>NIHE Homelessness Strategy</w:t>
        </w:r>
      </w:hyperlink>
      <w:r w:rsidR="00AF23E4">
        <w:rPr>
          <w:sz w:val="22"/>
          <w:szCs w:val="22"/>
        </w:rPr>
        <w:t xml:space="preserve">. </w:t>
      </w:r>
    </w:p>
    <w:p w14:paraId="223D90F6" w14:textId="77777777" w:rsidR="00AF23E4" w:rsidRDefault="00AF23E4" w:rsidP="00710FB9">
      <w:pPr>
        <w:pStyle w:val="Default"/>
        <w:spacing w:before="120" w:after="120" w:line="259" w:lineRule="auto"/>
        <w:jc w:val="both"/>
        <w:rPr>
          <w:color w:val="7030A0"/>
        </w:rPr>
      </w:pPr>
      <w:r>
        <w:rPr>
          <w:b/>
          <w:bCs/>
          <w:color w:val="7030A0"/>
        </w:rPr>
        <w:t xml:space="preserve">Definition of Full Duty Applicant </w:t>
      </w:r>
    </w:p>
    <w:p w14:paraId="2EEEF779" w14:textId="77777777" w:rsidR="00AF23E4" w:rsidRDefault="00AF23E4" w:rsidP="00710FB9">
      <w:pPr>
        <w:pStyle w:val="Default"/>
        <w:spacing w:before="120" w:after="120" w:line="259" w:lineRule="auto"/>
        <w:jc w:val="both"/>
        <w:rPr>
          <w:sz w:val="22"/>
          <w:szCs w:val="22"/>
        </w:rPr>
      </w:pPr>
      <w:r>
        <w:rPr>
          <w:sz w:val="22"/>
          <w:szCs w:val="22"/>
        </w:rPr>
        <w:t xml:space="preserve">The Housing (NI) Order 1988 (as amended) imposes a statutory duty on the Housing Executive to respond to homelessness. Where the Housing Executive has reason to believe an applicant may be homeless or threatened with homelessness it makes enquiries to satisfy itself whether the applicant is eligible for assistance, and whether they are homeless or threatened with homelessness. If homeless or threatened with homelessness, the Housing Executive will need to satisfy itself whether the applicant has a priority need for accommodation and whether they became homeless or threatened with homelessness intentionally. </w:t>
      </w:r>
    </w:p>
    <w:p w14:paraId="2098A916" w14:textId="77777777" w:rsidR="00AF23E4" w:rsidRDefault="00AF23E4" w:rsidP="00710FB9">
      <w:pPr>
        <w:pStyle w:val="Default"/>
        <w:spacing w:before="120" w:after="120" w:line="259" w:lineRule="auto"/>
        <w:jc w:val="both"/>
        <w:rPr>
          <w:sz w:val="22"/>
          <w:szCs w:val="22"/>
        </w:rPr>
      </w:pPr>
      <w:r>
        <w:rPr>
          <w:sz w:val="22"/>
          <w:szCs w:val="22"/>
        </w:rPr>
        <w:t xml:space="preserve">Where the Housing Executive concludes that an applicant is eligible, homeless (threatened with homelessness), in priority need and unintentionally homeless it owes them the full housing duty in line with the provisions of the 1988 Order. An applicant to whom this full housing duty is owed is operationally referred to as a “Full Duty Applicant” – FDA. Where an applicant is owed the full housing duty, the Executive shall secure that accommodation becomes available for their occupation. </w:t>
      </w:r>
    </w:p>
    <w:p w14:paraId="1B9B7973" w14:textId="3C0DE1FE" w:rsidR="00E479CE" w:rsidRPr="00710FB9" w:rsidRDefault="00AF23E4" w:rsidP="00710FB9">
      <w:pPr>
        <w:pStyle w:val="Default"/>
        <w:spacing w:before="120" w:after="120" w:line="259" w:lineRule="auto"/>
        <w:jc w:val="both"/>
        <w:rPr>
          <w:sz w:val="22"/>
          <w:szCs w:val="22"/>
        </w:rPr>
      </w:pPr>
      <w:r>
        <w:rPr>
          <w:sz w:val="22"/>
          <w:szCs w:val="22"/>
        </w:rPr>
        <w:t xml:space="preserve">The Housing Executive can discharge its housing duty in one of three ways: by re-housing of the applicant in the social or private sector, by offering the applicant </w:t>
      </w:r>
      <w:r w:rsidR="002A2451">
        <w:rPr>
          <w:sz w:val="22"/>
          <w:szCs w:val="22"/>
        </w:rPr>
        <w:t>two</w:t>
      </w:r>
      <w:r>
        <w:rPr>
          <w:sz w:val="22"/>
          <w:szCs w:val="22"/>
        </w:rPr>
        <w:t xml:space="preserve"> reasonable offers of accommodation which are all refused by the applicant or if the applicant re-houses him/herself and is no longer interested.  It is not possible to provide a breakdown of discharged Full Duty Applicants into these three subgroups.</w:t>
      </w:r>
    </w:p>
    <w:p w14:paraId="368EFD0E" w14:textId="77777777" w:rsidR="00AF23E4" w:rsidRDefault="00AF23E4" w:rsidP="00710FB9">
      <w:pPr>
        <w:spacing w:before="120" w:after="120"/>
        <w:jc w:val="both"/>
        <w:rPr>
          <w:rFonts w:ascii="Arial" w:hAnsi="Arial" w:cs="Arial"/>
          <w:b/>
          <w:color w:val="7030A0"/>
          <w:sz w:val="24"/>
          <w:szCs w:val="24"/>
        </w:rPr>
      </w:pPr>
      <w:r>
        <w:rPr>
          <w:rFonts w:ascii="Arial" w:hAnsi="Arial" w:cs="Arial"/>
          <w:b/>
          <w:color w:val="7030A0"/>
          <w:sz w:val="24"/>
          <w:szCs w:val="24"/>
        </w:rPr>
        <w:t>Data Quality</w:t>
      </w:r>
    </w:p>
    <w:p w14:paraId="268ED87B" w14:textId="77777777" w:rsidR="00AF23E4" w:rsidRDefault="00AF23E4" w:rsidP="00710FB9">
      <w:pPr>
        <w:spacing w:before="120" w:after="120"/>
        <w:jc w:val="both"/>
        <w:rPr>
          <w:rFonts w:ascii="Arial" w:hAnsi="Arial" w:cs="Arial"/>
          <w:i/>
          <w:color w:val="7030A0"/>
          <w:sz w:val="24"/>
          <w:szCs w:val="24"/>
        </w:rPr>
      </w:pPr>
      <w:r>
        <w:rPr>
          <w:rFonts w:ascii="Arial" w:hAnsi="Arial" w:cs="Arial"/>
          <w:i/>
          <w:color w:val="7030A0"/>
          <w:sz w:val="24"/>
          <w:szCs w:val="24"/>
        </w:rPr>
        <w:lastRenderedPageBreak/>
        <w:t>Relevance</w:t>
      </w:r>
    </w:p>
    <w:p w14:paraId="5113AAB8"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3.8</w:t>
      </w:r>
    </w:p>
    <w:p w14:paraId="7A892BFB" w14:textId="5287C2DB" w:rsidR="00AF23E4" w:rsidRPr="00710FB9" w:rsidRDefault="00AF23E4" w:rsidP="00710FB9">
      <w:pPr>
        <w:spacing w:before="120" w:after="120"/>
        <w:jc w:val="both"/>
        <w:rPr>
          <w:rFonts w:ascii="Arial" w:hAnsi="Arial" w:cs="Arial"/>
        </w:rPr>
      </w:pPr>
      <w:r>
        <w:rPr>
          <w:rFonts w:ascii="Arial" w:hAnsi="Arial" w:cs="Arial"/>
        </w:rPr>
        <w:t xml:space="preserve">Table 3.8 reports on all households presenting as homeless in Northern </w:t>
      </w:r>
      <w:r w:rsidR="00767BD6">
        <w:rPr>
          <w:rFonts w:ascii="Arial" w:hAnsi="Arial" w:cs="Arial"/>
        </w:rPr>
        <w:t xml:space="preserve">Ireland between 2004-05 and </w:t>
      </w:r>
      <w:r w:rsidR="00F4089B">
        <w:rPr>
          <w:rFonts w:ascii="Arial" w:hAnsi="Arial" w:cs="Arial"/>
        </w:rPr>
        <w:t>2025-26</w:t>
      </w:r>
      <w:r>
        <w:rPr>
          <w:rFonts w:ascii="Arial" w:hAnsi="Arial" w:cs="Arial"/>
        </w:rPr>
        <w:t>, according to the reasons for their application. Data are recorded by the Housing Executive in its Housing Management System (HMS), on a daily basis. Users of the table are those with an interest in the housing sector; including government officials, the voluntary sector, charities, the private sector and others.</w:t>
      </w:r>
    </w:p>
    <w:p w14:paraId="7B6945E6"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3.9</w:t>
      </w:r>
    </w:p>
    <w:p w14:paraId="10AB835E" w14:textId="23BB6612" w:rsidR="00AF23E4" w:rsidRDefault="00AF23E4" w:rsidP="00710FB9">
      <w:pPr>
        <w:spacing w:before="120" w:after="120"/>
        <w:jc w:val="both"/>
        <w:rPr>
          <w:rFonts w:ascii="Arial" w:hAnsi="Arial" w:cs="Arial"/>
        </w:rPr>
      </w:pPr>
      <w:r>
        <w:rPr>
          <w:rFonts w:ascii="Arial" w:hAnsi="Arial" w:cs="Arial"/>
        </w:rPr>
        <w:t xml:space="preserve">Table 3.9 reports on all households presenting as homeless in Northern </w:t>
      </w:r>
      <w:r w:rsidR="006B0412">
        <w:rPr>
          <w:rFonts w:ascii="Arial" w:hAnsi="Arial" w:cs="Arial"/>
        </w:rPr>
        <w:t>Ireland between 2004-05 and 20</w:t>
      </w:r>
      <w:r w:rsidR="00767BD6">
        <w:rPr>
          <w:rFonts w:ascii="Arial" w:hAnsi="Arial" w:cs="Arial"/>
        </w:rPr>
        <w:t>2</w:t>
      </w:r>
      <w:r w:rsidR="002A2451">
        <w:rPr>
          <w:rFonts w:ascii="Arial" w:hAnsi="Arial" w:cs="Arial"/>
        </w:rPr>
        <w:t>3-24</w:t>
      </w:r>
      <w:r>
        <w:rPr>
          <w:rFonts w:ascii="Arial" w:hAnsi="Arial" w:cs="Arial"/>
        </w:rPr>
        <w:t>, by household type. Data are recorded by the Housing Executive in its Housing Management System (HMS), on a daily basis. Users of the table are those with an interest in the housing sector; including government officials, the voluntary sector, charities,</w:t>
      </w:r>
      <w:r w:rsidR="00710FB9">
        <w:rPr>
          <w:rFonts w:ascii="Arial" w:hAnsi="Arial" w:cs="Arial"/>
        </w:rPr>
        <w:t xml:space="preserve"> </w:t>
      </w:r>
      <w:r>
        <w:rPr>
          <w:rFonts w:ascii="Arial" w:hAnsi="Arial" w:cs="Arial"/>
        </w:rPr>
        <w:t>the private sector and others.</w:t>
      </w:r>
    </w:p>
    <w:p w14:paraId="1EDB558A" w14:textId="77777777" w:rsidR="00AF23E4" w:rsidRDefault="00AF23E4" w:rsidP="00710FB9">
      <w:pPr>
        <w:spacing w:before="120" w:after="120"/>
        <w:jc w:val="both"/>
        <w:rPr>
          <w:rFonts w:ascii="Arial" w:hAnsi="Arial" w:cs="Arial"/>
        </w:rPr>
      </w:pPr>
      <w:r>
        <w:rPr>
          <w:rFonts w:ascii="Arial" w:hAnsi="Arial" w:cs="Arial"/>
          <w:u w:val="single"/>
        </w:rPr>
        <w:t>Table 3.10</w:t>
      </w:r>
    </w:p>
    <w:p w14:paraId="5F6D3EEF" w14:textId="060C158F" w:rsidR="00AF23E4" w:rsidRPr="00710FB9" w:rsidRDefault="00AF23E4" w:rsidP="00710FB9">
      <w:pPr>
        <w:spacing w:before="120" w:after="120"/>
        <w:jc w:val="both"/>
        <w:rPr>
          <w:rFonts w:ascii="Arial" w:hAnsi="Arial" w:cs="Arial"/>
          <w:highlight w:val="yellow"/>
        </w:rPr>
      </w:pPr>
      <w:r>
        <w:rPr>
          <w:rFonts w:ascii="Arial" w:hAnsi="Arial" w:cs="Arial"/>
        </w:rPr>
        <w:t>Table 3.10 reports on all households presenting as homeless in Northern I</w:t>
      </w:r>
      <w:r w:rsidR="006B0412">
        <w:rPr>
          <w:rFonts w:ascii="Arial" w:hAnsi="Arial" w:cs="Arial"/>
        </w:rPr>
        <w:t xml:space="preserve">reland between 2012-13 and </w:t>
      </w:r>
      <w:r w:rsidR="00F4089B">
        <w:rPr>
          <w:rFonts w:ascii="Arial" w:hAnsi="Arial" w:cs="Arial"/>
        </w:rPr>
        <w:t>2025-26</w:t>
      </w:r>
      <w:r w:rsidR="002A2451">
        <w:rPr>
          <w:rFonts w:ascii="Arial" w:hAnsi="Arial" w:cs="Arial"/>
        </w:rPr>
        <w:t xml:space="preserve"> </w:t>
      </w:r>
      <w:r>
        <w:rPr>
          <w:rFonts w:ascii="Arial" w:hAnsi="Arial" w:cs="Arial"/>
        </w:rPr>
        <w:t>according to the outcome of their application at 31</w:t>
      </w:r>
      <w:r>
        <w:rPr>
          <w:rFonts w:ascii="Arial" w:hAnsi="Arial" w:cs="Arial"/>
          <w:vertAlign w:val="superscript"/>
        </w:rPr>
        <w:t>st</w:t>
      </w:r>
      <w:r>
        <w:rPr>
          <w:rFonts w:ascii="Arial" w:hAnsi="Arial" w:cs="Arial"/>
        </w:rPr>
        <w:t xml:space="preserve"> March each year. Data are recorded by the Housing Executive in its Housing Management System (HMS), on a daily basis. Users of the table are those with an interest in the housing sector; including government officials, the voluntary sector, charities, the private sector and </w:t>
      </w:r>
      <w:r w:rsidRPr="00AF23E4">
        <w:rPr>
          <w:rFonts w:ascii="Arial" w:hAnsi="Arial" w:cs="Arial"/>
        </w:rPr>
        <w:t>others.</w:t>
      </w:r>
    </w:p>
    <w:p w14:paraId="7D1452AD"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3.11</w:t>
      </w:r>
    </w:p>
    <w:p w14:paraId="0FB4C0B8" w14:textId="5E46D72E" w:rsidR="00AF23E4" w:rsidRDefault="00AF23E4" w:rsidP="00710FB9">
      <w:pPr>
        <w:spacing w:before="120" w:after="120"/>
        <w:jc w:val="both"/>
        <w:rPr>
          <w:rFonts w:ascii="Arial" w:hAnsi="Arial" w:cs="Arial"/>
        </w:rPr>
      </w:pPr>
      <w:r>
        <w:rPr>
          <w:rFonts w:ascii="Arial" w:hAnsi="Arial" w:cs="Arial"/>
        </w:rPr>
        <w:t>Table 3.11 reports on all households accepted as full duty applicants in Northern I</w:t>
      </w:r>
      <w:r w:rsidR="006B0412">
        <w:rPr>
          <w:rFonts w:ascii="Arial" w:hAnsi="Arial" w:cs="Arial"/>
        </w:rPr>
        <w:t xml:space="preserve">reland between 2004-05 and </w:t>
      </w:r>
      <w:r w:rsidR="00F4089B">
        <w:rPr>
          <w:rFonts w:ascii="Arial" w:hAnsi="Arial" w:cs="Arial"/>
        </w:rPr>
        <w:t>2025-26</w:t>
      </w:r>
      <w:r w:rsidRPr="002A2451">
        <w:rPr>
          <w:rFonts w:ascii="Arial" w:hAnsi="Arial" w:cs="Arial"/>
        </w:rPr>
        <w:t>,</w:t>
      </w:r>
      <w:r>
        <w:rPr>
          <w:rFonts w:ascii="Arial" w:hAnsi="Arial" w:cs="Arial"/>
        </w:rPr>
        <w:t xml:space="preserve"> according to the reasons for their application.</w:t>
      </w:r>
      <w:r w:rsidR="003949E1">
        <w:rPr>
          <w:rFonts w:ascii="Arial" w:hAnsi="Arial" w:cs="Arial"/>
        </w:rPr>
        <w:t xml:space="preserve"> </w:t>
      </w:r>
      <w:r>
        <w:rPr>
          <w:rFonts w:ascii="Arial" w:hAnsi="Arial" w:cs="Arial"/>
        </w:rPr>
        <w:t>Data are recorded by the Housing Executive in its Housing Management System (HMS), on a daily basis. Users of the table are those with an interest in the housing sector; including government officials, the voluntary sector, charities, the private sector and others.</w:t>
      </w:r>
    </w:p>
    <w:p w14:paraId="2DA9BA7A" w14:textId="77777777" w:rsidR="007B05E2" w:rsidRDefault="007B05E2" w:rsidP="007B05E2">
      <w:pPr>
        <w:pStyle w:val="Style1"/>
        <w:numPr>
          <w:ilvl w:val="0"/>
          <w:numId w:val="0"/>
        </w:numPr>
        <w:tabs>
          <w:tab w:val="left" w:pos="720"/>
        </w:tabs>
        <w:spacing w:before="120" w:after="120" w:line="252" w:lineRule="auto"/>
        <w:jc w:val="both"/>
        <w:rPr>
          <w:rFonts w:ascii="Arial" w:hAnsi="Arial" w:cs="Arial"/>
          <w:sz w:val="22"/>
          <w:szCs w:val="22"/>
          <w:u w:val="single"/>
        </w:rPr>
      </w:pPr>
      <w:r>
        <w:rPr>
          <w:rFonts w:ascii="Arial" w:hAnsi="Arial" w:cs="Arial"/>
          <w:sz w:val="22"/>
          <w:szCs w:val="22"/>
          <w:u w:val="single"/>
        </w:rPr>
        <w:t>Table 3.12</w:t>
      </w:r>
    </w:p>
    <w:p w14:paraId="709E059D" w14:textId="1E5C9F8C" w:rsidR="007B05E2" w:rsidRDefault="007B05E2" w:rsidP="00710FB9">
      <w:pPr>
        <w:spacing w:before="120" w:after="120"/>
        <w:jc w:val="both"/>
        <w:rPr>
          <w:rFonts w:ascii="Arial" w:hAnsi="Arial" w:cs="Arial"/>
        </w:rPr>
      </w:pPr>
      <w:r>
        <w:rPr>
          <w:rFonts w:ascii="Arial" w:hAnsi="Arial" w:cs="Arial"/>
        </w:rPr>
        <w:t xml:space="preserve">Table 3.12 reports on all households accepted as homeless in Northern Ireland between 2018-19 </w:t>
      </w:r>
      <w:r w:rsidRPr="002A2451">
        <w:rPr>
          <w:rFonts w:ascii="Arial" w:hAnsi="Arial" w:cs="Arial"/>
        </w:rPr>
        <w:t xml:space="preserve">and </w:t>
      </w:r>
      <w:r w:rsidR="00F4089B">
        <w:rPr>
          <w:rFonts w:ascii="Arial" w:hAnsi="Arial" w:cs="Arial"/>
        </w:rPr>
        <w:t>2025-26</w:t>
      </w:r>
      <w:r>
        <w:rPr>
          <w:rFonts w:ascii="Arial" w:hAnsi="Arial" w:cs="Arial"/>
        </w:rPr>
        <w:t>, by household type. Data are recorded by the Housing Executive in its Housing Management System (HMS), on a daily basis.  Users of the table are those with an interest in the housing sector; including government officials, the voluntary sector, charities, the private sector and others.</w:t>
      </w:r>
    </w:p>
    <w:p w14:paraId="24520EB7" w14:textId="77777777" w:rsidR="00AF23E4" w:rsidRPr="00E479CE" w:rsidRDefault="00AF23E4" w:rsidP="00710FB9">
      <w:pPr>
        <w:autoSpaceDE w:val="0"/>
        <w:autoSpaceDN w:val="0"/>
        <w:adjustRightInd w:val="0"/>
        <w:spacing w:before="120" w:after="120"/>
        <w:rPr>
          <w:rFonts w:ascii="Arial" w:hAnsi="Arial" w:cs="Arial"/>
          <w:i/>
          <w:iCs/>
          <w:color w:val="7030A0"/>
          <w:sz w:val="24"/>
          <w:szCs w:val="24"/>
        </w:rPr>
      </w:pPr>
      <w:r w:rsidRPr="00E479CE">
        <w:rPr>
          <w:rFonts w:ascii="Arial" w:hAnsi="Arial" w:cs="Arial"/>
          <w:i/>
          <w:iCs/>
          <w:color w:val="7030A0"/>
          <w:sz w:val="24"/>
          <w:szCs w:val="24"/>
        </w:rPr>
        <w:t>Acc</w:t>
      </w:r>
      <w:r w:rsidRPr="00710FB9">
        <w:rPr>
          <w:rFonts w:ascii="Arial" w:hAnsi="Arial" w:cs="Arial"/>
          <w:i/>
          <w:iCs/>
          <w:color w:val="7030A0"/>
          <w:sz w:val="24"/>
          <w:szCs w:val="24"/>
        </w:rPr>
        <w:t>e</w:t>
      </w:r>
      <w:r w:rsidRPr="00E479CE">
        <w:rPr>
          <w:rFonts w:ascii="Arial" w:hAnsi="Arial" w:cs="Arial"/>
          <w:i/>
          <w:iCs/>
          <w:color w:val="7030A0"/>
          <w:sz w:val="24"/>
          <w:szCs w:val="24"/>
        </w:rPr>
        <w:t>ssibility and Clarity</w:t>
      </w:r>
    </w:p>
    <w:p w14:paraId="7B0B3AF9"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The tables are published in the DfC’s annual Housing Statistics, where they are available in pdf, </w:t>
      </w:r>
      <w:r w:rsidR="00730481">
        <w:rPr>
          <w:rFonts w:ascii="Arial" w:hAnsi="Arial" w:cs="Arial"/>
          <w:sz w:val="22"/>
          <w:szCs w:val="22"/>
        </w:rPr>
        <w:t>open source</w:t>
      </w:r>
      <w:r>
        <w:rPr>
          <w:rFonts w:ascii="Arial" w:hAnsi="Arial" w:cs="Arial"/>
          <w:sz w:val="22"/>
          <w:szCs w:val="22"/>
        </w:rPr>
        <w:t xml:space="preserve"> and Word format. Requests for the information in different formats can be made by contacting the Department for Communities. Supporting and/or additional information may be available on request from the Housing Executive.</w:t>
      </w:r>
    </w:p>
    <w:p w14:paraId="78E26102" w14:textId="77777777" w:rsidR="00AF23E4" w:rsidRDefault="00AF23E4" w:rsidP="00710FB9">
      <w:pPr>
        <w:autoSpaceDE w:val="0"/>
        <w:autoSpaceDN w:val="0"/>
        <w:adjustRightInd w:val="0"/>
        <w:spacing w:before="120" w:after="120"/>
        <w:rPr>
          <w:rFonts w:ascii="Arial" w:hAnsi="Arial" w:cs="Arial"/>
          <w:i/>
          <w:iCs/>
          <w:color w:val="7030A0"/>
          <w:sz w:val="24"/>
          <w:szCs w:val="24"/>
        </w:rPr>
      </w:pPr>
      <w:r>
        <w:rPr>
          <w:rFonts w:ascii="Arial" w:hAnsi="Arial" w:cs="Arial"/>
          <w:i/>
          <w:iCs/>
          <w:color w:val="7030A0"/>
          <w:sz w:val="24"/>
          <w:szCs w:val="24"/>
        </w:rPr>
        <w:t>Accuracy</w:t>
      </w:r>
    </w:p>
    <w:p w14:paraId="1FB081FD"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Monthly reports on the status of homelessness presentations are extracted from the Housing Management System through Crystal Reports. The Housing Executive acknowledges that some errors may occur due to the inputting of incorrect data, but checks all data that are to be published carefully, to provide a high level of quality assurance. However, users should be aware that figures are extracted from a live database on a specific date.</w:t>
      </w:r>
    </w:p>
    <w:p w14:paraId="51778EEA" w14:textId="77777777" w:rsidR="00AF23E4" w:rsidRDefault="00AF23E4" w:rsidP="00710FB9">
      <w:pPr>
        <w:pStyle w:val="PlainText"/>
        <w:spacing w:before="120" w:after="120" w:line="259" w:lineRule="auto"/>
        <w:jc w:val="both"/>
        <w:rPr>
          <w:rFonts w:ascii="Arial" w:hAnsi="Arial" w:cs="Arial"/>
          <w:color w:val="7030A0"/>
        </w:rPr>
      </w:pPr>
      <w:r>
        <w:rPr>
          <w:rFonts w:ascii="Arial" w:hAnsi="Arial" w:cs="Arial"/>
          <w:i/>
          <w:iCs/>
          <w:color w:val="7030A0"/>
          <w:sz w:val="24"/>
          <w:szCs w:val="24"/>
        </w:rPr>
        <w:t>Timeliness</w:t>
      </w:r>
    </w:p>
    <w:p w14:paraId="72B29633" w14:textId="77777777"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lastRenderedPageBreak/>
        <w:t>The full suite of homelessness statistics is published on an annual basis</w:t>
      </w:r>
      <w:r w:rsidR="00FE0717">
        <w:rPr>
          <w:rFonts w:ascii="Arial" w:hAnsi="Arial" w:cs="Arial"/>
          <w:sz w:val="22"/>
          <w:szCs w:val="22"/>
        </w:rPr>
        <w:t xml:space="preserve">, with additional detail published within the biannual </w:t>
      </w:r>
      <w:r w:rsidR="00FE0717" w:rsidRPr="00FE0717">
        <w:rPr>
          <w:rFonts w:ascii="Arial" w:hAnsi="Arial" w:cs="Arial"/>
          <w:i/>
          <w:sz w:val="22"/>
          <w:szCs w:val="22"/>
        </w:rPr>
        <w:t>Northern Ireland Homelessness Bulletin</w:t>
      </w:r>
      <w:r>
        <w:rPr>
          <w:rFonts w:ascii="Arial" w:hAnsi="Arial" w:cs="Arial"/>
          <w:sz w:val="22"/>
          <w:szCs w:val="22"/>
        </w:rPr>
        <w:t xml:space="preserve">. Some homelessness statistics are also published on a quarterly basis in the </w:t>
      </w:r>
      <w:r>
        <w:rPr>
          <w:rFonts w:ascii="Arial" w:hAnsi="Arial" w:cs="Arial"/>
          <w:i/>
          <w:sz w:val="22"/>
          <w:szCs w:val="22"/>
        </w:rPr>
        <w:t>Northern Ireland Housing Bulletin</w:t>
      </w:r>
      <w:r>
        <w:rPr>
          <w:rFonts w:ascii="Arial" w:hAnsi="Arial" w:cs="Arial"/>
          <w:sz w:val="22"/>
          <w:szCs w:val="22"/>
        </w:rPr>
        <w:t>. However, the change to the new Housing Management System, which was implemented during 2011-12, meant that homelessness statistics were not available on a quarterly basis for that financial year.</w:t>
      </w:r>
    </w:p>
    <w:p w14:paraId="483911A5" w14:textId="77777777" w:rsidR="00AF23E4" w:rsidRDefault="00AF23E4" w:rsidP="00710FB9">
      <w:pPr>
        <w:spacing w:before="120" w:after="120"/>
        <w:rPr>
          <w:rFonts w:ascii="Arial" w:hAnsi="Arial" w:cs="Arial"/>
          <w:i/>
          <w:iCs/>
          <w:color w:val="7030A0"/>
          <w:sz w:val="24"/>
          <w:szCs w:val="24"/>
        </w:rPr>
      </w:pPr>
      <w:r>
        <w:rPr>
          <w:rFonts w:ascii="Arial" w:hAnsi="Arial" w:cs="Arial"/>
          <w:i/>
          <w:iCs/>
          <w:color w:val="7030A0"/>
          <w:sz w:val="24"/>
          <w:szCs w:val="24"/>
        </w:rPr>
        <w:t>Coherence and Comparability</w:t>
      </w:r>
    </w:p>
    <w:p w14:paraId="5066CF2A"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3.8</w:t>
      </w:r>
    </w:p>
    <w:p w14:paraId="13267180" w14:textId="6A95343A" w:rsidR="00AF23E4" w:rsidRDefault="00AF23E4" w:rsidP="00710FB9">
      <w:pPr>
        <w:spacing w:before="120" w:after="120"/>
        <w:jc w:val="both"/>
        <w:rPr>
          <w:rFonts w:ascii="Arial" w:hAnsi="Arial" w:cs="Arial"/>
        </w:rPr>
      </w:pPr>
      <w:r>
        <w:rPr>
          <w:rFonts w:ascii="Arial" w:hAnsi="Arial" w:cs="Arial"/>
        </w:rPr>
        <w:t xml:space="preserve">The figures reported for each reason for presentation </w:t>
      </w:r>
      <w:r>
        <w:rPr>
          <w:rFonts w:ascii="Arial" w:hAnsi="Arial" w:cs="Arial"/>
          <w:iCs/>
        </w:rPr>
        <w:t>from 2011-12 onwards</w:t>
      </w:r>
      <w:r>
        <w:rPr>
          <w:rFonts w:ascii="Arial" w:hAnsi="Arial" w:cs="Arial"/>
        </w:rPr>
        <w:t xml:space="preserve"> are not fully comparable with </w:t>
      </w:r>
      <w:r w:rsidR="002716CC">
        <w:rPr>
          <w:rFonts w:ascii="Arial" w:hAnsi="Arial" w:cs="Arial"/>
        </w:rPr>
        <w:t>previously</w:t>
      </w:r>
      <w:r>
        <w:rPr>
          <w:rFonts w:ascii="Arial" w:hAnsi="Arial" w:cs="Arial"/>
        </w:rPr>
        <w:t xml:space="preserve"> published figures.  Data migration issues and coding variations following the introduction of a new operational Housing Management System (HMS) in July 2011 meant that no data on reason for presentation was recorded for 3,731 cases in 2011-12 and 835 cases during April-June 2012. From July 2012 onwards data migration </w:t>
      </w:r>
      <w:r w:rsidR="002716CC">
        <w:rPr>
          <w:rFonts w:ascii="Arial" w:hAnsi="Arial" w:cs="Arial"/>
        </w:rPr>
        <w:t>was</w:t>
      </w:r>
      <w:r>
        <w:rPr>
          <w:rFonts w:ascii="Arial" w:hAnsi="Arial" w:cs="Arial"/>
        </w:rPr>
        <w:t xml:space="preserve"> no longer an issue.  Keying variations accounted for some of the missing data, but the majority related to three possible outcomes – where the case was rejected, cancelled or concluded. While the data captured through the HMS are essentially the same as those captured by the PRAWL system, data migration and coding variations in the period following the change of systems have had a small impact on the comparability of homelessness statistics. Hence figures </w:t>
      </w:r>
      <w:r>
        <w:rPr>
          <w:rFonts w:ascii="Arial" w:hAnsi="Arial" w:cs="Arial"/>
          <w:iCs/>
        </w:rPr>
        <w:t>from 2011-12 onwards</w:t>
      </w:r>
      <w:r>
        <w:rPr>
          <w:rFonts w:ascii="Arial" w:hAnsi="Arial" w:cs="Arial"/>
        </w:rPr>
        <w:t xml:space="preserve"> are not directly comparable with those reported in previous years.</w:t>
      </w:r>
    </w:p>
    <w:p w14:paraId="44DCFCEA" w14:textId="19FF4547" w:rsidR="00FE0717" w:rsidRPr="00710FB9" w:rsidRDefault="00AF23E4" w:rsidP="00710FB9">
      <w:pPr>
        <w:spacing w:before="120" w:after="120"/>
        <w:jc w:val="both"/>
        <w:rPr>
          <w:rFonts w:ascii="Arial" w:hAnsi="Arial" w:cs="Arial"/>
        </w:rPr>
      </w:pPr>
      <w:r>
        <w:rPr>
          <w:rFonts w:ascii="Arial" w:hAnsi="Arial" w:cs="Arial"/>
        </w:rPr>
        <w:t xml:space="preserve">Users should note that </w:t>
      </w:r>
      <w:r w:rsidR="002716CC">
        <w:rPr>
          <w:rFonts w:ascii="Arial" w:hAnsi="Arial" w:cs="Arial"/>
        </w:rPr>
        <w:t xml:space="preserve">from approximately 2014/15 </w:t>
      </w:r>
      <w:r>
        <w:rPr>
          <w:rFonts w:ascii="Arial" w:hAnsi="Arial" w:cs="Arial"/>
        </w:rPr>
        <w:t xml:space="preserve">the intimidation category </w:t>
      </w:r>
      <w:r w:rsidR="00FD2F52">
        <w:rPr>
          <w:rFonts w:ascii="Arial" w:hAnsi="Arial" w:cs="Arial"/>
        </w:rPr>
        <w:t>was</w:t>
      </w:r>
      <w:r>
        <w:rPr>
          <w:rFonts w:ascii="Arial" w:hAnsi="Arial" w:cs="Arial"/>
        </w:rPr>
        <w:t xml:space="preserve"> renamed from 'intimidation (civil disturbance)'.</w:t>
      </w:r>
      <w:r w:rsidR="003A231F">
        <w:rPr>
          <w:rFonts w:ascii="Arial" w:hAnsi="Arial" w:cs="Arial"/>
        </w:rPr>
        <w:t xml:space="preserve"> </w:t>
      </w:r>
      <w:r>
        <w:rPr>
          <w:rFonts w:ascii="Arial" w:hAnsi="Arial" w:cs="Arial"/>
        </w:rPr>
        <w:t xml:space="preserve">However, the data definition </w:t>
      </w:r>
      <w:r w:rsidR="002716CC">
        <w:rPr>
          <w:rFonts w:ascii="Arial" w:hAnsi="Arial" w:cs="Arial"/>
        </w:rPr>
        <w:t>did</w:t>
      </w:r>
      <w:r>
        <w:rPr>
          <w:rFonts w:ascii="Arial" w:hAnsi="Arial" w:cs="Arial"/>
        </w:rPr>
        <w:t xml:space="preserve"> not change.</w:t>
      </w:r>
      <w:r>
        <w:t xml:space="preserve"> </w:t>
      </w:r>
      <w:r>
        <w:rPr>
          <w:rFonts w:ascii="Arial" w:hAnsi="Arial" w:cs="Arial"/>
        </w:rPr>
        <w:t xml:space="preserve">The intimidation category includes those intimidated due to anti-social behaviour, </w:t>
      </w:r>
      <w:commentRangeStart w:id="6"/>
      <w:r>
        <w:rPr>
          <w:rFonts w:ascii="Arial" w:hAnsi="Arial" w:cs="Arial"/>
        </w:rPr>
        <w:t>paramilitarism, sectarianism, racial abuse or sexual orientation.</w:t>
      </w:r>
      <w:commentRangeEnd w:id="6"/>
      <w:r w:rsidR="00B54607">
        <w:rPr>
          <w:rStyle w:val="CommentReference"/>
          <w:rFonts w:ascii="Arial" w:hAnsi="Arial" w:cs="Arial"/>
          <w:sz w:val="22"/>
          <w:szCs w:val="22"/>
        </w:rPr>
        <w:commentReference w:id="6"/>
      </w:r>
      <w:r w:rsidR="003A231F">
        <w:rPr>
          <w:rFonts w:ascii="Arial" w:hAnsi="Arial" w:cs="Arial"/>
        </w:rPr>
        <w:t xml:space="preserve"> </w:t>
      </w:r>
      <w:r w:rsidR="00FD2F52">
        <w:rPr>
          <w:rFonts w:ascii="Arial" w:hAnsi="Arial" w:cs="Arial"/>
        </w:rPr>
        <w:t xml:space="preserve">Intimidation </w:t>
      </w:r>
      <w:r w:rsidR="00FD2F52" w:rsidRPr="00FD2F52">
        <w:rPr>
          <w:rFonts w:ascii="Arial" w:hAnsi="Arial" w:cs="Arial"/>
        </w:rPr>
        <w:t xml:space="preserve">criteria were </w:t>
      </w:r>
      <w:r w:rsidR="00FD2F52">
        <w:rPr>
          <w:rFonts w:ascii="Arial" w:hAnsi="Arial" w:cs="Arial"/>
        </w:rPr>
        <w:t xml:space="preserve">subsequently </w:t>
      </w:r>
      <w:r w:rsidR="00FD2F52" w:rsidRPr="00FD2F52">
        <w:rPr>
          <w:rFonts w:ascii="Arial" w:hAnsi="Arial" w:cs="Arial"/>
        </w:rPr>
        <w:t xml:space="preserve">removed from the points system on 1 April 2025 and two new categories, 'Hate crime' and 'Violence/Risk of violence', </w:t>
      </w:r>
      <w:r w:rsidR="00FD2F52">
        <w:rPr>
          <w:rFonts w:ascii="Arial" w:hAnsi="Arial" w:cs="Arial"/>
        </w:rPr>
        <w:t>were</w:t>
      </w:r>
      <w:r w:rsidR="00FD2F52" w:rsidRPr="00FD2F52">
        <w:rPr>
          <w:rFonts w:ascii="Arial" w:hAnsi="Arial" w:cs="Arial"/>
        </w:rPr>
        <w:t xml:space="preserve"> introduced.</w:t>
      </w:r>
    </w:p>
    <w:p w14:paraId="6CDF666F"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b/>
          <w:sz w:val="22"/>
          <w:szCs w:val="22"/>
        </w:rPr>
      </w:pPr>
      <w:r>
        <w:rPr>
          <w:rFonts w:ascii="Arial" w:hAnsi="Arial" w:cs="Arial"/>
          <w:sz w:val="22"/>
          <w:szCs w:val="22"/>
          <w:u w:val="single"/>
        </w:rPr>
        <w:t xml:space="preserve">Table 3.9 </w:t>
      </w:r>
    </w:p>
    <w:p w14:paraId="5169B0D3" w14:textId="2853CCFE" w:rsidR="00AF23E4" w:rsidRDefault="00AF23E4" w:rsidP="00710FB9">
      <w:pPr>
        <w:spacing w:before="120" w:after="120"/>
        <w:jc w:val="both"/>
        <w:rPr>
          <w:rFonts w:ascii="Arial" w:hAnsi="Arial" w:cs="Arial"/>
        </w:rPr>
      </w:pPr>
      <w:r>
        <w:rPr>
          <w:rFonts w:ascii="Arial" w:hAnsi="Arial" w:cs="Arial"/>
        </w:rPr>
        <w:t xml:space="preserve">The time series of data in the table </w:t>
      </w:r>
      <w:r>
        <w:rPr>
          <w:rFonts w:ascii="Arial" w:hAnsi="Arial" w:cs="Arial"/>
          <w:iCs/>
        </w:rPr>
        <w:t>from 2011-12 onwards</w:t>
      </w:r>
      <w:r>
        <w:rPr>
          <w:rFonts w:ascii="Arial" w:hAnsi="Arial" w:cs="Arial"/>
        </w:rPr>
        <w:t xml:space="preserve"> are not fully comparable with </w:t>
      </w:r>
      <w:r w:rsidR="002716CC">
        <w:rPr>
          <w:rFonts w:ascii="Arial" w:hAnsi="Arial" w:cs="Arial"/>
        </w:rPr>
        <w:t>previously</w:t>
      </w:r>
      <w:r>
        <w:rPr>
          <w:rFonts w:ascii="Arial" w:hAnsi="Arial" w:cs="Arial"/>
        </w:rPr>
        <w:t xml:space="preserve"> published figures. The Housing Management System (HMS) went live in July 2011, replacing the previous ‘PRAWL’ information management system. While the data captured through the HMS are essentially the same as those captured by the PRAWL system, data migration and coding variations in the period following the change of systems had a small impact on the comparability of homelessness statistics. Hence figures </w:t>
      </w:r>
      <w:r>
        <w:rPr>
          <w:rFonts w:ascii="Arial" w:hAnsi="Arial" w:cs="Arial"/>
          <w:iCs/>
        </w:rPr>
        <w:t>from 2011-12 onwards</w:t>
      </w:r>
      <w:r>
        <w:rPr>
          <w:rFonts w:ascii="Arial" w:hAnsi="Arial" w:cs="Arial"/>
        </w:rPr>
        <w:t xml:space="preserve"> are not directly comparable with those reported in previous years.</w:t>
      </w:r>
    </w:p>
    <w:p w14:paraId="5EB17C45" w14:textId="6D7D807C" w:rsidR="00AF23E4" w:rsidRDefault="00AF23E4" w:rsidP="00710FB9">
      <w:pPr>
        <w:spacing w:before="120" w:after="120"/>
        <w:jc w:val="both"/>
        <w:rPr>
          <w:rFonts w:ascii="Arial" w:hAnsi="Arial" w:cs="Arial"/>
        </w:rPr>
      </w:pPr>
      <w:r>
        <w:rPr>
          <w:rFonts w:ascii="Arial" w:hAnsi="Arial" w:cs="Arial"/>
        </w:rPr>
        <w:t xml:space="preserve">Users should note that in 2016/17 the mid-year introduction of an additional field in HMS for staff to record presenting reason had an impact on the specification of statistical reports.  This resulted in some data issues at yearend which included an increase in the 'no data' category.  This issue </w:t>
      </w:r>
      <w:r w:rsidR="002716CC">
        <w:rPr>
          <w:rFonts w:ascii="Arial" w:hAnsi="Arial" w:cs="Arial"/>
        </w:rPr>
        <w:t>was subsequently</w:t>
      </w:r>
      <w:r>
        <w:rPr>
          <w:rFonts w:ascii="Arial" w:hAnsi="Arial" w:cs="Arial"/>
        </w:rPr>
        <w:t xml:space="preserve"> resolved</w:t>
      </w:r>
      <w:r w:rsidR="002716CC">
        <w:rPr>
          <w:rFonts w:ascii="Arial" w:hAnsi="Arial" w:cs="Arial"/>
        </w:rPr>
        <w:t>.</w:t>
      </w:r>
    </w:p>
    <w:p w14:paraId="59F9594D" w14:textId="77777777" w:rsidR="00AF23E4" w:rsidRDefault="00AF23E4" w:rsidP="00710FB9">
      <w:pPr>
        <w:spacing w:before="120" w:after="120"/>
        <w:jc w:val="both"/>
        <w:rPr>
          <w:rFonts w:ascii="Arial" w:hAnsi="Arial" w:cs="Arial"/>
          <w:u w:val="single"/>
        </w:rPr>
      </w:pPr>
      <w:r>
        <w:rPr>
          <w:rFonts w:ascii="Arial" w:hAnsi="Arial" w:cs="Arial"/>
          <w:u w:val="single"/>
        </w:rPr>
        <w:t>Table 3.10</w:t>
      </w:r>
    </w:p>
    <w:p w14:paraId="4DE3D0F0"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Data published from 2011-12 onwards (in previous and current editions) are not fully comparable with other published figures. Until 2010-11, figures were published for only three potential outcomes – ‘awarded priority status’, ‘not homeless’ and ‘homeless but not awarded priority status’. In order to better reflect the homelessness application process, the new Housing Management System was designed to allow reporting on a fuller range of potential outcomes – eight in total. These are as follows:</w:t>
      </w:r>
    </w:p>
    <w:p w14:paraId="37D36B98" w14:textId="77777777" w:rsidR="00AF23E4" w:rsidRDefault="00AF23E4" w:rsidP="00710FB9">
      <w:pPr>
        <w:pStyle w:val="Style1"/>
        <w:numPr>
          <w:ilvl w:val="0"/>
          <w:numId w:val="11"/>
        </w:numPr>
        <w:tabs>
          <w:tab w:val="left" w:pos="720"/>
        </w:tabs>
        <w:spacing w:before="120" w:after="120" w:line="259" w:lineRule="auto"/>
        <w:jc w:val="both"/>
        <w:rPr>
          <w:rFonts w:ascii="Arial" w:hAnsi="Arial" w:cs="Arial"/>
          <w:sz w:val="22"/>
          <w:szCs w:val="22"/>
        </w:rPr>
      </w:pPr>
      <w:r>
        <w:rPr>
          <w:rFonts w:ascii="Arial" w:hAnsi="Arial" w:cs="Arial"/>
          <w:sz w:val="22"/>
          <w:szCs w:val="22"/>
        </w:rPr>
        <w:t>Accepted: Applicant has been accepted as statutorily homeless and awarded Full Duty Applicant Status.</w:t>
      </w:r>
    </w:p>
    <w:p w14:paraId="44D368FB" w14:textId="77777777" w:rsidR="00AF23E4" w:rsidRDefault="00AF23E4" w:rsidP="00710FB9">
      <w:pPr>
        <w:pStyle w:val="Style1"/>
        <w:numPr>
          <w:ilvl w:val="0"/>
          <w:numId w:val="11"/>
        </w:numPr>
        <w:tabs>
          <w:tab w:val="left" w:pos="720"/>
        </w:tabs>
        <w:spacing w:before="120" w:after="120" w:line="259" w:lineRule="auto"/>
        <w:jc w:val="both"/>
        <w:rPr>
          <w:rFonts w:ascii="Arial" w:hAnsi="Arial" w:cs="Arial"/>
          <w:sz w:val="22"/>
          <w:szCs w:val="22"/>
        </w:rPr>
      </w:pPr>
      <w:r>
        <w:rPr>
          <w:rFonts w:ascii="Arial" w:hAnsi="Arial" w:cs="Arial"/>
          <w:sz w:val="22"/>
          <w:szCs w:val="22"/>
        </w:rPr>
        <w:lastRenderedPageBreak/>
        <w:t>Appeal: Applicant has sought a review of their homelessness decision.</w:t>
      </w:r>
    </w:p>
    <w:p w14:paraId="7D6F38F3" w14:textId="77777777" w:rsidR="00AF23E4" w:rsidRDefault="00AF23E4" w:rsidP="00710FB9">
      <w:pPr>
        <w:pStyle w:val="Style1"/>
        <w:numPr>
          <w:ilvl w:val="0"/>
          <w:numId w:val="11"/>
        </w:numPr>
        <w:tabs>
          <w:tab w:val="left" w:pos="720"/>
        </w:tabs>
        <w:spacing w:before="120" w:after="120" w:line="259" w:lineRule="auto"/>
        <w:jc w:val="both"/>
        <w:rPr>
          <w:rFonts w:ascii="Arial" w:hAnsi="Arial" w:cs="Arial"/>
          <w:sz w:val="22"/>
          <w:szCs w:val="22"/>
        </w:rPr>
      </w:pPr>
      <w:r>
        <w:rPr>
          <w:rFonts w:ascii="Arial" w:hAnsi="Arial" w:cs="Arial"/>
          <w:sz w:val="22"/>
          <w:szCs w:val="22"/>
        </w:rPr>
        <w:t>Cancelled: A homelessness application was registered in error by the Housing Executive.</w:t>
      </w:r>
    </w:p>
    <w:p w14:paraId="2EE8C554" w14:textId="77777777" w:rsidR="00AF23E4" w:rsidRDefault="00AF23E4" w:rsidP="00710FB9">
      <w:pPr>
        <w:pStyle w:val="Style1"/>
        <w:numPr>
          <w:ilvl w:val="0"/>
          <w:numId w:val="11"/>
        </w:numPr>
        <w:tabs>
          <w:tab w:val="left" w:pos="720"/>
        </w:tabs>
        <w:spacing w:before="120" w:after="120" w:line="259" w:lineRule="auto"/>
        <w:jc w:val="both"/>
        <w:rPr>
          <w:rFonts w:ascii="Arial" w:hAnsi="Arial" w:cs="Arial"/>
          <w:sz w:val="22"/>
          <w:szCs w:val="22"/>
        </w:rPr>
      </w:pPr>
      <w:r>
        <w:rPr>
          <w:rFonts w:ascii="Arial" w:hAnsi="Arial" w:cs="Arial"/>
          <w:sz w:val="22"/>
          <w:szCs w:val="22"/>
        </w:rPr>
        <w:t>Concluded: Applicant has withdrawn their homelessness application, or has not made contact with the Housing Executive within a specified period.</w:t>
      </w:r>
    </w:p>
    <w:p w14:paraId="32E6F584" w14:textId="05C53774" w:rsidR="00AF23E4" w:rsidRDefault="00AF23E4" w:rsidP="00710FB9">
      <w:pPr>
        <w:pStyle w:val="Style1"/>
        <w:numPr>
          <w:ilvl w:val="0"/>
          <w:numId w:val="11"/>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Duty Discharged: Applicant has been awarded full duty status and subsequently (a) the applicant has been re-housed in the social or private sector, (b) the applicant has been presented with </w:t>
      </w:r>
      <w:r w:rsidR="002716CC">
        <w:rPr>
          <w:rFonts w:ascii="Arial" w:hAnsi="Arial" w:cs="Arial"/>
          <w:sz w:val="22"/>
          <w:szCs w:val="22"/>
        </w:rPr>
        <w:t>two</w:t>
      </w:r>
      <w:r>
        <w:rPr>
          <w:rFonts w:ascii="Arial" w:hAnsi="Arial" w:cs="Arial"/>
          <w:sz w:val="22"/>
          <w:szCs w:val="22"/>
        </w:rPr>
        <w:t xml:space="preserve"> reasonable offers of accommodation</w:t>
      </w:r>
      <w:r w:rsidR="002716CC">
        <w:rPr>
          <w:rFonts w:ascii="Arial" w:hAnsi="Arial" w:cs="Arial"/>
          <w:sz w:val="22"/>
          <w:szCs w:val="22"/>
        </w:rPr>
        <w:t>, both of</w:t>
      </w:r>
      <w:r>
        <w:rPr>
          <w:rFonts w:ascii="Arial" w:hAnsi="Arial" w:cs="Arial"/>
          <w:sz w:val="22"/>
          <w:szCs w:val="22"/>
        </w:rPr>
        <w:t xml:space="preserve"> which </w:t>
      </w:r>
      <w:r w:rsidR="002716CC">
        <w:rPr>
          <w:rFonts w:ascii="Arial" w:hAnsi="Arial" w:cs="Arial"/>
          <w:sz w:val="22"/>
          <w:szCs w:val="22"/>
        </w:rPr>
        <w:t xml:space="preserve">were </w:t>
      </w:r>
      <w:r>
        <w:rPr>
          <w:rFonts w:ascii="Arial" w:hAnsi="Arial" w:cs="Arial"/>
          <w:sz w:val="22"/>
          <w:szCs w:val="22"/>
        </w:rPr>
        <w:t>refused, or (c) the applicant re-houses him/herself and is no longer interested.</w:t>
      </w:r>
    </w:p>
    <w:p w14:paraId="6165A62A" w14:textId="77777777" w:rsidR="00AF23E4" w:rsidRDefault="00AF23E4" w:rsidP="00710FB9">
      <w:pPr>
        <w:pStyle w:val="Style1"/>
        <w:numPr>
          <w:ilvl w:val="0"/>
          <w:numId w:val="12"/>
        </w:numPr>
        <w:tabs>
          <w:tab w:val="left" w:pos="720"/>
        </w:tabs>
        <w:spacing w:before="120" w:after="120" w:line="259" w:lineRule="auto"/>
        <w:jc w:val="both"/>
        <w:rPr>
          <w:rFonts w:ascii="Arial" w:hAnsi="Arial" w:cs="Arial"/>
          <w:sz w:val="22"/>
          <w:szCs w:val="22"/>
        </w:rPr>
      </w:pPr>
      <w:r>
        <w:rPr>
          <w:rFonts w:ascii="Arial" w:hAnsi="Arial" w:cs="Arial"/>
          <w:sz w:val="22"/>
          <w:szCs w:val="22"/>
        </w:rPr>
        <w:t>No decision: Homelessness application is still being processed.</w:t>
      </w:r>
    </w:p>
    <w:p w14:paraId="13A4719A" w14:textId="77777777" w:rsidR="00AF23E4" w:rsidRDefault="00AF23E4" w:rsidP="00710FB9">
      <w:pPr>
        <w:pStyle w:val="Style1"/>
        <w:numPr>
          <w:ilvl w:val="0"/>
          <w:numId w:val="12"/>
        </w:numPr>
        <w:tabs>
          <w:tab w:val="left" w:pos="720"/>
        </w:tabs>
        <w:spacing w:before="120" w:after="120" w:line="259" w:lineRule="auto"/>
        <w:jc w:val="both"/>
        <w:rPr>
          <w:rFonts w:ascii="Arial" w:hAnsi="Arial" w:cs="Arial"/>
          <w:sz w:val="22"/>
          <w:szCs w:val="22"/>
        </w:rPr>
      </w:pPr>
      <w:r>
        <w:rPr>
          <w:rFonts w:ascii="Arial" w:hAnsi="Arial" w:cs="Arial"/>
          <w:sz w:val="22"/>
          <w:szCs w:val="22"/>
        </w:rPr>
        <w:t>Prevented: Homelessness has been prevented by an action or intervention by the Housing Executive, another agency or the applicant themselves.</w:t>
      </w:r>
    </w:p>
    <w:p w14:paraId="26A6DA58" w14:textId="77777777" w:rsidR="00AF23E4" w:rsidRPr="00710FB9" w:rsidRDefault="00AF23E4" w:rsidP="00710FB9">
      <w:pPr>
        <w:pStyle w:val="Style1"/>
        <w:numPr>
          <w:ilvl w:val="0"/>
          <w:numId w:val="12"/>
        </w:numPr>
        <w:tabs>
          <w:tab w:val="left" w:pos="720"/>
        </w:tabs>
        <w:spacing w:before="120" w:after="120" w:line="259" w:lineRule="auto"/>
        <w:jc w:val="both"/>
        <w:rPr>
          <w:rFonts w:ascii="Arial" w:hAnsi="Arial" w:cs="Arial"/>
          <w:sz w:val="22"/>
          <w:szCs w:val="22"/>
        </w:rPr>
      </w:pPr>
      <w:r>
        <w:rPr>
          <w:rFonts w:ascii="Arial" w:hAnsi="Arial" w:cs="Arial"/>
          <w:sz w:val="22"/>
          <w:szCs w:val="22"/>
        </w:rPr>
        <w:t>Rejected: Applicant does not meet the statutory homelessness criteria.</w:t>
      </w:r>
    </w:p>
    <w:p w14:paraId="6A131AB0" w14:textId="77777777" w:rsidR="00AF23E4" w:rsidRPr="00710FB9"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While the strict meaning of ‘Accepted’ reported from 2011-12 onwards remains the same as ‘awarded priority status’ in previous annual statistics, the greater range of other potential outcomes means that it may be misleading to make direct comparisons between the published figures.</w:t>
      </w:r>
    </w:p>
    <w:p w14:paraId="79F3BF08"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Users should note that the end of year data base for 2016-17 was downloaded later than usual.  This accounts for the lower number of no decision cases.</w:t>
      </w:r>
    </w:p>
    <w:p w14:paraId="2E69B57C" w14:textId="77777777" w:rsidR="002716CC" w:rsidRDefault="002716CC" w:rsidP="002716CC">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In relation to ‘Duty Discharged’ users should note that under the Fundamental Review of Allocations, the number of reasonable offers to which an applicant is entitled reduced from three to two from 30 January 2023, with some transitional protections for existing applicants. For more information see:</w:t>
      </w:r>
    </w:p>
    <w:p w14:paraId="128FB6EF" w14:textId="523F0E00" w:rsidR="002716CC" w:rsidRPr="002716CC" w:rsidRDefault="002716CC" w:rsidP="002716CC">
      <w:pPr>
        <w:pStyle w:val="Style1"/>
        <w:numPr>
          <w:ilvl w:val="0"/>
          <w:numId w:val="6"/>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 </w:t>
      </w:r>
      <w:hyperlink r:id="rId25" w:history="1">
        <w:r>
          <w:rPr>
            <w:rStyle w:val="Hyperlink"/>
            <w:rFonts w:ascii="Arial" w:hAnsi="Arial" w:cs="Arial"/>
            <w:sz w:val="22"/>
            <w:szCs w:val="22"/>
          </w:rPr>
          <w:t>Fundamental Review of Allocations</w:t>
        </w:r>
      </w:hyperlink>
      <w:r>
        <w:rPr>
          <w:rFonts w:ascii="Arial" w:hAnsi="Arial" w:cs="Arial"/>
          <w:sz w:val="22"/>
          <w:szCs w:val="22"/>
        </w:rPr>
        <w:t xml:space="preserve"> </w:t>
      </w:r>
    </w:p>
    <w:p w14:paraId="16F481BB" w14:textId="11E73B76"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u w:val="single"/>
        </w:rPr>
      </w:pPr>
      <w:r>
        <w:rPr>
          <w:rFonts w:ascii="Arial" w:hAnsi="Arial" w:cs="Arial"/>
          <w:sz w:val="22"/>
          <w:szCs w:val="22"/>
          <w:u w:val="single"/>
        </w:rPr>
        <w:t>Table 3.11</w:t>
      </w:r>
      <w:r w:rsidR="007B05E2">
        <w:rPr>
          <w:rFonts w:ascii="Arial" w:hAnsi="Arial" w:cs="Arial"/>
          <w:sz w:val="22"/>
          <w:szCs w:val="22"/>
          <w:u w:val="single"/>
        </w:rPr>
        <w:t xml:space="preserve"> &amp; Table 3.12</w:t>
      </w:r>
    </w:p>
    <w:p w14:paraId="3D21A519" w14:textId="77777777" w:rsidR="00AF23E4" w:rsidRDefault="00AF23E4" w:rsidP="00710FB9">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 xml:space="preserve">The data recorded in the table for 2011-12 onwards are not fully comparable with the statistics reported for previous years. Until 2010-11, figures were published for only three potential homelessness outcomes – ‘awarded priority status’, ‘not homeless’ and ‘homeless but not awarded priority status’. In order to better reflect the homelessness application process, the new Housing Management System was designed to allow reporting on a fuller range of potential </w:t>
      </w:r>
      <w:r w:rsidR="00A8107E">
        <w:rPr>
          <w:rFonts w:ascii="Arial" w:hAnsi="Arial" w:cs="Arial"/>
          <w:sz w:val="22"/>
          <w:szCs w:val="22"/>
        </w:rPr>
        <w:t>outcomes – eight in total (see T</w:t>
      </w:r>
      <w:r>
        <w:rPr>
          <w:rFonts w:ascii="Arial" w:hAnsi="Arial" w:cs="Arial"/>
          <w:sz w:val="22"/>
          <w:szCs w:val="22"/>
        </w:rPr>
        <w:t xml:space="preserve">able 3.10), of which ‘accepted as full duty applicant’ is one. While the strict meaning of ‘accepted as full duty applicant’ is essentially the same as ‘awarded priority status’ in previous annual statistics, the greater range of other potential outcomes means that it may be misleading to make direct comparisons between the published figures for 2011-12 onwards and those for previous years.  </w:t>
      </w:r>
    </w:p>
    <w:p w14:paraId="4EC77278" w14:textId="77777777" w:rsidR="00AF23E4" w:rsidRDefault="00AF23E4" w:rsidP="00710FB9">
      <w:pPr>
        <w:pStyle w:val="ListParagraph"/>
        <w:shd w:val="clear" w:color="auto" w:fill="FFFFFF"/>
        <w:spacing w:before="120" w:after="120" w:line="259" w:lineRule="auto"/>
        <w:ind w:left="0"/>
        <w:contextualSpacing w:val="0"/>
        <w:jc w:val="both"/>
        <w:rPr>
          <w:rFonts w:ascii="Arial" w:hAnsi="Arial" w:cs="Arial"/>
        </w:rPr>
      </w:pPr>
      <w:r>
        <w:rPr>
          <w:rFonts w:ascii="Arial" w:hAnsi="Arial" w:cs="Arial"/>
        </w:rPr>
        <w:t xml:space="preserve">Homelessness figures for the period 2004-05 to </w:t>
      </w:r>
      <w:r w:rsidR="00FE0717">
        <w:rPr>
          <w:rFonts w:ascii="Arial" w:hAnsi="Arial" w:cs="Arial"/>
        </w:rPr>
        <w:t>2010-11 include those homeless h</w:t>
      </w:r>
      <w:r>
        <w:rPr>
          <w:rFonts w:ascii="Arial" w:hAnsi="Arial" w:cs="Arial"/>
        </w:rPr>
        <w:t>ouseholds accepted as Full Duty Applicants who</w:t>
      </w:r>
      <w:r w:rsidR="00FE0717">
        <w:rPr>
          <w:rFonts w:ascii="Arial" w:hAnsi="Arial" w:cs="Arial"/>
        </w:rPr>
        <w:t xml:space="preserve"> were subsequently discharged. </w:t>
      </w:r>
      <w:r>
        <w:rPr>
          <w:rFonts w:ascii="Arial" w:hAnsi="Arial" w:cs="Arial"/>
          <w:color w:val="0D0D0D"/>
        </w:rPr>
        <w:t>Following the introduction of the new Housing Management System (HMS), discharged cases were not included in figures for 2011-12 in the Housing Statistics 2011-12 report. Figures for 2012-13 onwards include those Full Duty Applicants who were subsequently discharged. It has not been possible to revise figures for 2011-12 due to the introduction of the new HMS and keying variations. Due to this inconsistency in the time series, figures for 2011-12 are not directly comparable with other years</w:t>
      </w:r>
      <w:r>
        <w:rPr>
          <w:rFonts w:ascii="Arial" w:hAnsi="Arial" w:cs="Arial"/>
          <w:color w:val="1F497D"/>
        </w:rPr>
        <w:t>. </w:t>
      </w:r>
    </w:p>
    <w:p w14:paraId="547F3CE2" w14:textId="701FD080" w:rsidR="00CE48CE" w:rsidRPr="00710FB9" w:rsidRDefault="00AF23E4" w:rsidP="00710FB9">
      <w:pPr>
        <w:spacing w:before="120" w:after="120"/>
        <w:jc w:val="both"/>
        <w:rPr>
          <w:rFonts w:ascii="Arial" w:hAnsi="Arial" w:cs="Arial"/>
        </w:rPr>
      </w:pPr>
      <w:r>
        <w:rPr>
          <w:rFonts w:ascii="Arial" w:hAnsi="Arial" w:cs="Arial"/>
        </w:rPr>
        <w:lastRenderedPageBreak/>
        <w:t xml:space="preserve">Users should note that </w:t>
      </w:r>
      <w:r w:rsidR="002716CC">
        <w:rPr>
          <w:rFonts w:ascii="Arial" w:hAnsi="Arial" w:cs="Arial"/>
        </w:rPr>
        <w:t xml:space="preserve">from approximately 2014/15 </w:t>
      </w:r>
      <w:r>
        <w:rPr>
          <w:rFonts w:ascii="Arial" w:hAnsi="Arial" w:cs="Arial"/>
        </w:rPr>
        <w:t xml:space="preserve">the intimidation category </w:t>
      </w:r>
      <w:r w:rsidR="002716CC">
        <w:rPr>
          <w:rFonts w:ascii="Arial" w:hAnsi="Arial" w:cs="Arial"/>
        </w:rPr>
        <w:t>was</w:t>
      </w:r>
      <w:r>
        <w:rPr>
          <w:rFonts w:ascii="Arial" w:hAnsi="Arial" w:cs="Arial"/>
        </w:rPr>
        <w:t xml:space="preserve"> renamed from 'intimidation (civil disturbance)'. However, the data definition </w:t>
      </w:r>
      <w:r w:rsidR="002716CC">
        <w:rPr>
          <w:rFonts w:ascii="Arial" w:hAnsi="Arial" w:cs="Arial"/>
        </w:rPr>
        <w:t>did</w:t>
      </w:r>
      <w:r>
        <w:rPr>
          <w:rFonts w:ascii="Arial" w:hAnsi="Arial" w:cs="Arial"/>
        </w:rPr>
        <w:t xml:space="preserve"> not change.</w:t>
      </w:r>
      <w:r>
        <w:t xml:space="preserve"> </w:t>
      </w:r>
      <w:r>
        <w:rPr>
          <w:rFonts w:ascii="Arial" w:hAnsi="Arial" w:cs="Arial"/>
        </w:rPr>
        <w:t>The intimidation category includes those intimidated due to anti-social behaviour, paramilitarism, sectarianism, racial abuse or sexual orientation</w:t>
      </w:r>
      <w:r w:rsidR="00FD2F52">
        <w:rPr>
          <w:rFonts w:ascii="Arial" w:hAnsi="Arial" w:cs="Arial"/>
        </w:rPr>
        <w:t>. In</w:t>
      </w:r>
      <w:r w:rsidR="00FD2F52" w:rsidRPr="00FD2F52">
        <w:rPr>
          <w:rFonts w:ascii="Arial" w:hAnsi="Arial" w:cs="Arial"/>
        </w:rPr>
        <w:t xml:space="preserve">timidation criteria were removed from the points system on 1 April 2025 and two new categories, 'Hate crime' and 'Violence/Risk of violence', </w:t>
      </w:r>
      <w:r w:rsidR="00FD2F52">
        <w:rPr>
          <w:rFonts w:ascii="Arial" w:hAnsi="Arial" w:cs="Arial"/>
        </w:rPr>
        <w:t>were</w:t>
      </w:r>
      <w:r w:rsidR="00FD2F52" w:rsidRPr="00FD2F52">
        <w:rPr>
          <w:rFonts w:ascii="Arial" w:hAnsi="Arial" w:cs="Arial"/>
        </w:rPr>
        <w:t xml:space="preserve"> introduced.</w:t>
      </w:r>
    </w:p>
    <w:sectPr w:rsidR="00CE48CE" w:rsidRPr="00710FB9">
      <w:headerReference w:type="default" r:id="rId2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Curry, Lesley" w:date="2026-09-23T12:12:00Z" w:initials="LC">
    <w:p w14:paraId="470A9CCA" w14:textId="49C07E3E" w:rsidR="00B54607" w:rsidRDefault="00B54607" w:rsidP="00B54607">
      <w:pPr>
        <w:pStyle w:val="CommentText"/>
      </w:pPr>
      <w:r>
        <w:rPr>
          <w:rStyle w:val="CommentReference"/>
        </w:rPr>
        <w:annotationRef/>
      </w:r>
      <w:r>
        <w:t>Can we add a note in here about intimidation and the new categories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0A9CC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D3ACAB" w16cex:dateUtc="2026-09-23T1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0A9CCA" w16cid:durableId="02D3AC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CB4E6" w14:textId="77777777" w:rsidR="00114B33" w:rsidRDefault="00114B33" w:rsidP="003C7E86">
      <w:pPr>
        <w:spacing w:after="0" w:line="240" w:lineRule="auto"/>
      </w:pPr>
      <w:r>
        <w:separator/>
      </w:r>
    </w:p>
  </w:endnote>
  <w:endnote w:type="continuationSeparator" w:id="0">
    <w:p w14:paraId="10CCF69A" w14:textId="77777777" w:rsidR="00114B33" w:rsidRDefault="00114B33" w:rsidP="003C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yriad Pro">
    <w:panose1 w:val="00000000000000000000"/>
    <w:charset w:val="00"/>
    <w:family w:val="swiss"/>
    <w:notTrueType/>
    <w:pitch w:val="variable"/>
    <w:sig w:usb0="A00002AF" w:usb1="5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3B58" w14:textId="77777777" w:rsidR="00114B33" w:rsidRDefault="00114B33" w:rsidP="003C7E86">
      <w:pPr>
        <w:spacing w:after="0" w:line="240" w:lineRule="auto"/>
      </w:pPr>
      <w:r>
        <w:separator/>
      </w:r>
    </w:p>
  </w:footnote>
  <w:footnote w:type="continuationSeparator" w:id="0">
    <w:p w14:paraId="3FE215BA" w14:textId="77777777" w:rsidR="00114B33" w:rsidRDefault="00114B33" w:rsidP="003C7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BB18" w14:textId="77777777" w:rsidR="003C7E86" w:rsidRDefault="00710FB9">
    <w:pPr>
      <w:pStyle w:val="Header"/>
    </w:pPr>
    <w:r w:rsidRPr="00710FB9">
      <w:rPr>
        <w:b/>
        <w:caps/>
        <w:noProof/>
        <w:color w:val="FFFFFF" w:themeColor="background1"/>
        <w:sz w:val="32"/>
        <w:szCs w:val="18"/>
        <w:lang w:eastAsia="en-GB"/>
      </w:rPr>
      <mc:AlternateContent>
        <mc:Choice Requires="wps">
          <w:drawing>
            <wp:inline distT="0" distB="0" distL="0" distR="0" wp14:anchorId="2EDB9D2A" wp14:editId="3A290F4D">
              <wp:extent cx="5950039" cy="270457"/>
              <wp:effectExtent l="0" t="0" r="0" b="9525"/>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43CDBE8" w14:textId="77777777" w:rsidR="00710FB9" w:rsidRPr="00710FB9" w:rsidRDefault="00710FB9" w:rsidP="00C0784C">
                              <w:pPr>
                                <w:pStyle w:val="Header"/>
                                <w:rPr>
                                  <w:b/>
                                  <w:caps/>
                                  <w:color w:val="FFFFFF" w:themeColor="background1"/>
                                  <w:sz w:val="32"/>
                                </w:rPr>
                              </w:pPr>
                              <w:r w:rsidRPr="00710FB9">
                                <w:rPr>
                                  <w:b/>
                                  <w:caps/>
                                  <w:color w:val="FFFFFF" w:themeColor="background1"/>
                                  <w:sz w:val="32"/>
                                </w:rPr>
                                <w:t>Section three appendix: social renting demand</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xmlns:w16cei="http://schemas.microsoft.com/office/word/2026/wordml/cei">
          <w:pict>
            <v:rect w14:anchorId="2EDB9D2A" id="Rectangle 197" o:spid="_x0000_s1026" style="width:468.5pt;height:2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uPhQIAAGoFAAAOAAAAZHJzL2Uyb0RvYy54bWysVEtP3DAQvlfqf7B8L8kuUMqKLFqBqCoh&#10;QEDF2evYm0iOxx17N9n++o6dx1KKeqh6ccaeb755ZGYuLrvGsJ1CX4Mt+Owo50xZCWVtNwX//nzz&#10;6QtnPghbCgNWFXyvPL9cfvxw0bqFmkMFplTIiMT6ResKXoXgFlnmZaUa4Y/AKUtKDdiIQFfcZCWK&#10;ltgbk83z/HPWApYOQSrv6fW6V/Jl4tdayXCvtVeBmYJTbCGdmM51PLPlhVhsULiqlkMY4h+iaERt&#10;yelEdS2CYFus/6BqaongQYcjCU0GWtdSpRwom1n+JpunSjiVcqHieDeVyf8/Wnm3e3IPSGVonV94&#10;EmMWncYmfik+1qVi7adiqS4wSY+n56d5fnzOmSTd/Cw/OT2L1cwO1g59+KqgYVEoONLPSDUSu1sf&#10;eugIic48mLq8qY1JF9ysrwyynaAfd5Yf56v0r4j9N5ixEWwhmvWM8SU75JKksDcq4ox9VJrVJUU/&#10;T5GkNlOTHyGlsmHWqypRqt495ZlP3mNjRouUaSKMzJr8T9wDwYjsSUbuPsoBH01V6tLJOP9bYL3x&#10;ZJE8gw2TcVNbwPcIDGU1eO7xY5H60sQqhW7dESSKayj3D8gQ+nHxTt7U9AtvhQ8PAmk+aJJo5sM9&#10;HdpAW3AYJM4qwJ/vvUc8tS1pOWtp3gruf2wFKs7MN0sNfT47OYkDmi7US3O64GvN+rXGbpsroM6Y&#10;0XZxMokRH8woaoTmhVbDKnollbCSfBdcBhwvV6HfA7RcpFqtEoyG0olwa5+cjOSxwLFFn7sXgW7o&#10;40ATcAfjbIrFm3busdHSu9U2UGumXj/UdSg9DXTqoWH5xI3x+p5QhxW5/AUAAP//AwBQSwMEFAAG&#10;AAgAAAAhAEkltyHZAAAABAEAAA8AAABkcnMvZG93bnJldi54bWxMj0FLw0AQhe+C/2EZwZvdWLVq&#10;zKRUwYug0Fj0usmOSTA7G7PbJv77jr3Yy4PHG977JltOrlM7GkLrGeFyloAirrxtuUbYvD9f3IEK&#10;0bA1nWdC+KUAy/z0JDOp9SOvaVfEWkkJh9QgNDH2qdahasiZMPM9sWRffnAmih1qbQczSrnr9DxJ&#10;FtqZlmWhMT09NVR9F1uH8MlaF+7jcXSrm5+ESnp7fdkQ4vnZtHoAFWmK/8fwhy/okAtT6bdsg+oQ&#10;5JF4UMnur27FlgjX8wXoPNPH8PkeAAD//wMAUEsBAi0AFAAGAAgAAAAhALaDOJL+AAAA4QEAABMA&#10;AAAAAAAAAAAAAAAAAAAAAFtDb250ZW50X1R5cGVzXS54bWxQSwECLQAUAAYACAAAACEAOP0h/9YA&#10;AACUAQAACwAAAAAAAAAAAAAAAAAvAQAAX3JlbHMvLnJlbHNQSwECLQAUAAYACAAAACEA5grLj4UC&#10;AABqBQAADgAAAAAAAAAAAAAAAAAuAgAAZHJzL2Uyb0RvYy54bWxQSwECLQAUAAYACAAAACEASSW3&#10;IdkAAAAEAQAADwAAAAAAAAAAAAAAAADfBAAAZHJzL2Rvd25yZXYueG1sUEsFBgAAAAAEAAQA8wAA&#10;AOUFAAAAAA==&#10;" fillcolor="#7030a0" stroked="f" strokeweight="1pt">
              <v:textbox style="mso-fit-shape-to-text:t">
                <w:txbxContent>
                  <w:sdt>
                    <w:sdtPr>
                      <w:rPr>
                        <w:b/>
                        <w:caps/>
                        <w:color w:val="FFFFFF" w:themeColor="background1"/>
                        <w:sz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43CDBE8" w14:textId="77777777" w:rsidR="00710FB9" w:rsidRPr="00710FB9" w:rsidRDefault="00710FB9" w:rsidP="00C0784C">
                        <w:pPr>
                          <w:pStyle w:val="Header"/>
                          <w:rPr>
                            <w:b/>
                            <w:caps/>
                            <w:color w:val="FFFFFF" w:themeColor="background1"/>
                            <w:sz w:val="32"/>
                          </w:rPr>
                        </w:pPr>
                        <w:r w:rsidRPr="00710FB9">
                          <w:rPr>
                            <w:b/>
                            <w:caps/>
                            <w:color w:val="FFFFFF" w:themeColor="background1"/>
                            <w:sz w:val="32"/>
                          </w:rPr>
                          <w:t>Section three appendix: social renting demand</w:t>
                        </w:r>
                      </w:p>
                    </w:sdtContent>
                  </w:sdt>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A7D"/>
    <w:multiLevelType w:val="hybridMultilevel"/>
    <w:tmpl w:val="CAFA81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24CB"/>
    <w:multiLevelType w:val="hybridMultilevel"/>
    <w:tmpl w:val="4EDCE1F4"/>
    <w:lvl w:ilvl="0" w:tplc="FFFFFFFF">
      <w:start w:val="1"/>
      <w:numFmt w:val="bullet"/>
      <w:pStyle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EB28A5"/>
    <w:multiLevelType w:val="multilevel"/>
    <w:tmpl w:val="0C94C42A"/>
    <w:lvl w:ilvl="0">
      <w:numFmt w:val="decimal"/>
      <w:lvlText w:val=""/>
      <w:lvlJc w:val="left"/>
      <w:pPr>
        <w:ind w:left="720" w:hanging="360"/>
      </w:pPr>
      <w:rPr>
        <w:rFonts w:ascii="Symbol" w:hAnsi="Symbol"/>
      </w:rPr>
    </w:lvl>
    <w:lvl w:ilvl="1">
      <w:numFmt w:val="decimal"/>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744735"/>
    <w:multiLevelType w:val="hybridMultilevel"/>
    <w:tmpl w:val="861E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E2FE7"/>
    <w:multiLevelType w:val="hybridMultilevel"/>
    <w:tmpl w:val="9F643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EF0F91"/>
    <w:multiLevelType w:val="hybridMultilevel"/>
    <w:tmpl w:val="A52C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F02731"/>
    <w:multiLevelType w:val="hybridMultilevel"/>
    <w:tmpl w:val="543E1DEC"/>
    <w:lvl w:ilvl="0" w:tplc="52089298">
      <w:start w:val="1"/>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4308BE"/>
    <w:multiLevelType w:val="hybridMultilevel"/>
    <w:tmpl w:val="CAFA81AE"/>
    <w:lvl w:ilvl="0" w:tplc="08090001">
      <w:numFmt w:val="decimal"/>
      <w:lvlText w:val=""/>
      <w:lvlJc w:val="left"/>
      <w:pPr>
        <w:ind w:left="720" w:hanging="360"/>
      </w:pPr>
      <w:rPr>
        <w:rFonts w:ascii="Symbol" w:hAnsi="Symbol" w:hint="default"/>
      </w:rPr>
    </w:lvl>
    <w:lvl w:ilvl="1" w:tplc="08090001">
      <w:numFmt w:val="decimal"/>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61C11F7"/>
    <w:multiLevelType w:val="hybridMultilevel"/>
    <w:tmpl w:val="E954D2A8"/>
    <w:lvl w:ilvl="0" w:tplc="35F68FC2">
      <w:start w:val="1"/>
      <w:numFmt w:val="decimal"/>
      <w:pStyle w:val="Style1"/>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18083642">
    <w:abstractNumId w:val="8"/>
  </w:num>
  <w:num w:numId="2" w16cid:durableId="1725520057">
    <w:abstractNumId w:val="6"/>
  </w:num>
  <w:num w:numId="3" w16cid:durableId="1642343124">
    <w:abstractNumId w:val="1"/>
  </w:num>
  <w:num w:numId="4" w16cid:durableId="1165050460">
    <w:abstractNumId w:val="5"/>
  </w:num>
  <w:num w:numId="5" w16cid:durableId="862741434">
    <w:abstractNumId w:val="3"/>
  </w:num>
  <w:num w:numId="6" w16cid:durableId="1440560731">
    <w:abstractNumId w:val="4"/>
  </w:num>
  <w:num w:numId="7" w16cid:durableId="165370547">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0306053">
    <w:abstractNumId w:val="8"/>
    <w:lvlOverride w:ilvl="0">
      <w:startOverride w:val="1"/>
    </w:lvlOverride>
    <w:lvlOverride w:ilvl="1"/>
    <w:lvlOverride w:ilvl="2"/>
    <w:lvlOverride w:ilvl="3"/>
    <w:lvlOverride w:ilvl="4"/>
    <w:lvlOverride w:ilvl="5"/>
    <w:lvlOverride w:ilvl="6"/>
    <w:lvlOverride w:ilvl="7"/>
    <w:lvlOverride w:ilvl="8"/>
  </w:num>
  <w:num w:numId="9" w16cid:durableId="1386642480">
    <w:abstractNumId w:val="8"/>
  </w:num>
  <w:num w:numId="10" w16cid:durableId="2113090165">
    <w:abstractNumId w:val="8"/>
    <w:lvlOverride w:ilvl="0">
      <w:startOverride w:val="1"/>
    </w:lvlOverride>
    <w:lvlOverride w:ilvl="1"/>
    <w:lvlOverride w:ilvl="2"/>
    <w:lvlOverride w:ilvl="3"/>
    <w:lvlOverride w:ilvl="4"/>
    <w:lvlOverride w:ilvl="5"/>
    <w:lvlOverride w:ilvl="6"/>
    <w:lvlOverride w:ilvl="7"/>
    <w:lvlOverride w:ilvl="8"/>
  </w:num>
  <w:num w:numId="11" w16cid:durableId="1548101702">
    <w:abstractNumId w:val="3"/>
  </w:num>
  <w:num w:numId="12" w16cid:durableId="1736010340">
    <w:abstractNumId w:val="4"/>
  </w:num>
  <w:num w:numId="13" w16cid:durableId="36782270">
    <w:abstractNumId w:val="8"/>
    <w:lvlOverride w:ilvl="0">
      <w:startOverride w:val="1"/>
    </w:lvlOverride>
    <w:lvlOverride w:ilvl="1"/>
    <w:lvlOverride w:ilvl="2"/>
    <w:lvlOverride w:ilvl="3"/>
    <w:lvlOverride w:ilvl="4"/>
    <w:lvlOverride w:ilvl="5"/>
    <w:lvlOverride w:ilvl="6"/>
    <w:lvlOverride w:ilvl="7"/>
    <w:lvlOverride w:ilvl="8"/>
  </w:num>
  <w:num w:numId="14" w16cid:durableId="2100641289">
    <w:abstractNumId w:val="7"/>
  </w:num>
  <w:num w:numId="15" w16cid:durableId="20638007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urry, Lesley">
    <w15:presenceInfo w15:providerId="AD" w15:userId="S::Lesley.Curry@communities-ni.gov.uk::5bfc99e3-9b06-46c2-9df7-90cdf5052c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3C7E86"/>
    <w:rsid w:val="0001193D"/>
    <w:rsid w:val="000141F3"/>
    <w:rsid w:val="000261E7"/>
    <w:rsid w:val="00045B41"/>
    <w:rsid w:val="0008390C"/>
    <w:rsid w:val="000911D4"/>
    <w:rsid w:val="00097ECB"/>
    <w:rsid w:val="000B11C0"/>
    <w:rsid w:val="000B14AB"/>
    <w:rsid w:val="000C2D12"/>
    <w:rsid w:val="00114B33"/>
    <w:rsid w:val="001424E7"/>
    <w:rsid w:val="00143B0B"/>
    <w:rsid w:val="00171D1B"/>
    <w:rsid w:val="00180F6D"/>
    <w:rsid w:val="00181B67"/>
    <w:rsid w:val="001A6B23"/>
    <w:rsid w:val="001B206B"/>
    <w:rsid w:val="001E32BC"/>
    <w:rsid w:val="002244F8"/>
    <w:rsid w:val="00266706"/>
    <w:rsid w:val="002716CC"/>
    <w:rsid w:val="002A2451"/>
    <w:rsid w:val="002B3E0A"/>
    <w:rsid w:val="002D095A"/>
    <w:rsid w:val="002E77D4"/>
    <w:rsid w:val="002F6F78"/>
    <w:rsid w:val="00301137"/>
    <w:rsid w:val="003040A6"/>
    <w:rsid w:val="0032317A"/>
    <w:rsid w:val="003301F6"/>
    <w:rsid w:val="0034406B"/>
    <w:rsid w:val="0034446A"/>
    <w:rsid w:val="00367C35"/>
    <w:rsid w:val="0037236C"/>
    <w:rsid w:val="003773F7"/>
    <w:rsid w:val="00382971"/>
    <w:rsid w:val="00393D87"/>
    <w:rsid w:val="003949E1"/>
    <w:rsid w:val="003955D1"/>
    <w:rsid w:val="00396744"/>
    <w:rsid w:val="00397E7D"/>
    <w:rsid w:val="003A231F"/>
    <w:rsid w:val="003B1990"/>
    <w:rsid w:val="003C7E86"/>
    <w:rsid w:val="003D3906"/>
    <w:rsid w:val="0040301E"/>
    <w:rsid w:val="004103F1"/>
    <w:rsid w:val="00417981"/>
    <w:rsid w:val="00421321"/>
    <w:rsid w:val="0042492E"/>
    <w:rsid w:val="00440973"/>
    <w:rsid w:val="004701E6"/>
    <w:rsid w:val="004727F2"/>
    <w:rsid w:val="00473D2A"/>
    <w:rsid w:val="00475861"/>
    <w:rsid w:val="00476C50"/>
    <w:rsid w:val="004A0DDD"/>
    <w:rsid w:val="004A4C9A"/>
    <w:rsid w:val="004D6D7B"/>
    <w:rsid w:val="004F10DE"/>
    <w:rsid w:val="004F1AD9"/>
    <w:rsid w:val="004F3589"/>
    <w:rsid w:val="00511745"/>
    <w:rsid w:val="00512B55"/>
    <w:rsid w:val="00521F89"/>
    <w:rsid w:val="00552FCE"/>
    <w:rsid w:val="00567B61"/>
    <w:rsid w:val="00583173"/>
    <w:rsid w:val="0059516D"/>
    <w:rsid w:val="00595B77"/>
    <w:rsid w:val="005B1887"/>
    <w:rsid w:val="005B2B24"/>
    <w:rsid w:val="005C5558"/>
    <w:rsid w:val="005F746F"/>
    <w:rsid w:val="00603C58"/>
    <w:rsid w:val="00611A09"/>
    <w:rsid w:val="00620270"/>
    <w:rsid w:val="006349AF"/>
    <w:rsid w:val="00635A4A"/>
    <w:rsid w:val="00635D3E"/>
    <w:rsid w:val="00647F27"/>
    <w:rsid w:val="0066503A"/>
    <w:rsid w:val="00675F18"/>
    <w:rsid w:val="006B0412"/>
    <w:rsid w:val="006B2A5A"/>
    <w:rsid w:val="006C4CBF"/>
    <w:rsid w:val="006E5749"/>
    <w:rsid w:val="00700E29"/>
    <w:rsid w:val="00703AA5"/>
    <w:rsid w:val="00710FB9"/>
    <w:rsid w:val="00724DC8"/>
    <w:rsid w:val="00730481"/>
    <w:rsid w:val="00754D92"/>
    <w:rsid w:val="00756B9C"/>
    <w:rsid w:val="00756DFF"/>
    <w:rsid w:val="00767BD6"/>
    <w:rsid w:val="00773DAA"/>
    <w:rsid w:val="00781A72"/>
    <w:rsid w:val="007B05E2"/>
    <w:rsid w:val="007C6604"/>
    <w:rsid w:val="007F66D8"/>
    <w:rsid w:val="008000EF"/>
    <w:rsid w:val="00826040"/>
    <w:rsid w:val="00832F3C"/>
    <w:rsid w:val="008375FB"/>
    <w:rsid w:val="00840B90"/>
    <w:rsid w:val="00842220"/>
    <w:rsid w:val="008444DD"/>
    <w:rsid w:val="00854FB3"/>
    <w:rsid w:val="0087239F"/>
    <w:rsid w:val="008955B2"/>
    <w:rsid w:val="008D2E95"/>
    <w:rsid w:val="008E3BEC"/>
    <w:rsid w:val="008F6E1E"/>
    <w:rsid w:val="00902165"/>
    <w:rsid w:val="0090268E"/>
    <w:rsid w:val="00907AD6"/>
    <w:rsid w:val="00934856"/>
    <w:rsid w:val="009476C9"/>
    <w:rsid w:val="009C639A"/>
    <w:rsid w:val="009E0353"/>
    <w:rsid w:val="009F1648"/>
    <w:rsid w:val="009F7888"/>
    <w:rsid w:val="00A0187F"/>
    <w:rsid w:val="00A07A2B"/>
    <w:rsid w:val="00A11225"/>
    <w:rsid w:val="00A2606C"/>
    <w:rsid w:val="00A52DF9"/>
    <w:rsid w:val="00A7504D"/>
    <w:rsid w:val="00A8107E"/>
    <w:rsid w:val="00AA5AB6"/>
    <w:rsid w:val="00AD7DCE"/>
    <w:rsid w:val="00AE08D8"/>
    <w:rsid w:val="00AE37DD"/>
    <w:rsid w:val="00AF23E4"/>
    <w:rsid w:val="00AF65DC"/>
    <w:rsid w:val="00B228F5"/>
    <w:rsid w:val="00B4698F"/>
    <w:rsid w:val="00B54607"/>
    <w:rsid w:val="00B620CC"/>
    <w:rsid w:val="00B77613"/>
    <w:rsid w:val="00B87834"/>
    <w:rsid w:val="00B96F71"/>
    <w:rsid w:val="00BB53DE"/>
    <w:rsid w:val="00BD7155"/>
    <w:rsid w:val="00BE5DA7"/>
    <w:rsid w:val="00BF3C5A"/>
    <w:rsid w:val="00C0784C"/>
    <w:rsid w:val="00C10566"/>
    <w:rsid w:val="00C2335A"/>
    <w:rsid w:val="00C87744"/>
    <w:rsid w:val="00C91C82"/>
    <w:rsid w:val="00CA02D3"/>
    <w:rsid w:val="00CA12E2"/>
    <w:rsid w:val="00CB44B8"/>
    <w:rsid w:val="00CB7954"/>
    <w:rsid w:val="00CD5542"/>
    <w:rsid w:val="00CD701A"/>
    <w:rsid w:val="00CE0C08"/>
    <w:rsid w:val="00CE48CE"/>
    <w:rsid w:val="00CE6DC5"/>
    <w:rsid w:val="00D04780"/>
    <w:rsid w:val="00DB0D60"/>
    <w:rsid w:val="00DB18D7"/>
    <w:rsid w:val="00DB3BAB"/>
    <w:rsid w:val="00DC2086"/>
    <w:rsid w:val="00DC42BA"/>
    <w:rsid w:val="00DF2809"/>
    <w:rsid w:val="00E34EDC"/>
    <w:rsid w:val="00E479CE"/>
    <w:rsid w:val="00E5351D"/>
    <w:rsid w:val="00E66771"/>
    <w:rsid w:val="00E953B8"/>
    <w:rsid w:val="00EA6E8F"/>
    <w:rsid w:val="00F226A3"/>
    <w:rsid w:val="00F341AD"/>
    <w:rsid w:val="00F4089B"/>
    <w:rsid w:val="00F423D6"/>
    <w:rsid w:val="00F45464"/>
    <w:rsid w:val="00F54100"/>
    <w:rsid w:val="00F555C0"/>
    <w:rsid w:val="00F57909"/>
    <w:rsid w:val="00F73003"/>
    <w:rsid w:val="00F94899"/>
    <w:rsid w:val="00FD2F52"/>
    <w:rsid w:val="00FE07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6939A"/>
  <w15:chartTrackingRefBased/>
  <w15:docId w15:val="{62E4FFB1-6F85-408F-A1A6-EF4FFDDB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AD6"/>
  </w:style>
  <w:style w:type="paragraph" w:styleId="Heading1">
    <w:name w:val="heading 1"/>
    <w:basedOn w:val="Style1"/>
    <w:next w:val="Normal"/>
    <w:link w:val="Heading1Char"/>
    <w:uiPriority w:val="9"/>
    <w:qFormat/>
    <w:rsid w:val="00710FB9"/>
    <w:pPr>
      <w:numPr>
        <w:numId w:val="0"/>
      </w:numPr>
      <w:tabs>
        <w:tab w:val="left" w:pos="720"/>
      </w:tabs>
      <w:spacing w:before="240" w:after="160" w:line="259" w:lineRule="auto"/>
      <w:outlineLvl w:val="0"/>
    </w:pPr>
    <w:rPr>
      <w:rFonts w:ascii="Arial" w:hAnsi="Arial" w:cs="Arial"/>
      <w:b/>
      <w:sz w:val="28"/>
    </w:rPr>
  </w:style>
  <w:style w:type="paragraph" w:styleId="Heading2">
    <w:name w:val="heading 2"/>
    <w:basedOn w:val="Style1"/>
    <w:next w:val="Normal"/>
    <w:link w:val="Heading2Char"/>
    <w:uiPriority w:val="9"/>
    <w:unhideWhenUsed/>
    <w:qFormat/>
    <w:rsid w:val="00710FB9"/>
    <w:pPr>
      <w:numPr>
        <w:numId w:val="0"/>
      </w:numPr>
      <w:spacing w:before="240" w:after="160" w:line="259" w:lineRule="auto"/>
      <w:outlineLvl w:val="1"/>
    </w:pPr>
    <w:rPr>
      <w:rFonts w:ascii="Arial" w:hAnsi="Arial" w:cs="Arial"/>
      <w:b/>
      <w:sz w:val="28"/>
    </w:rPr>
  </w:style>
  <w:style w:type="paragraph" w:styleId="Heading3">
    <w:name w:val="heading 3"/>
    <w:basedOn w:val="Style1"/>
    <w:next w:val="Normal"/>
    <w:link w:val="Heading3Char"/>
    <w:uiPriority w:val="9"/>
    <w:unhideWhenUsed/>
    <w:qFormat/>
    <w:rsid w:val="00710FB9"/>
    <w:pPr>
      <w:numPr>
        <w:numId w:val="0"/>
      </w:numPr>
      <w:tabs>
        <w:tab w:val="left" w:pos="0"/>
      </w:tabs>
      <w:spacing w:before="240" w:after="160" w:line="259" w:lineRule="auto"/>
      <w:jc w:val="both"/>
      <w:outlineLvl w:val="2"/>
    </w:pPr>
    <w:rPr>
      <w:rFonts w:ascii="Arial" w:hAnsi="Arial" w:cs="Arial"/>
      <w:b/>
      <w:sz w:val="28"/>
    </w:rPr>
  </w:style>
  <w:style w:type="paragraph" w:styleId="Heading4">
    <w:name w:val="heading 4"/>
    <w:basedOn w:val="Style1"/>
    <w:next w:val="Normal"/>
    <w:link w:val="Heading4Char"/>
    <w:uiPriority w:val="9"/>
    <w:unhideWhenUsed/>
    <w:qFormat/>
    <w:rsid w:val="00710FB9"/>
    <w:pPr>
      <w:numPr>
        <w:numId w:val="0"/>
      </w:numPr>
      <w:tabs>
        <w:tab w:val="left" w:pos="720"/>
      </w:tabs>
      <w:spacing w:before="240" w:after="160" w:line="259" w:lineRule="auto"/>
      <w:jc w:val="both"/>
      <w:outlineLvl w:val="3"/>
    </w:pPr>
    <w:rPr>
      <w:rFonts w:ascii="Arial" w:hAnsi="Arial" w:cs="Arial"/>
      <w:b/>
      <w:sz w:val="28"/>
    </w:rPr>
  </w:style>
  <w:style w:type="paragraph" w:styleId="Heading5">
    <w:name w:val="heading 5"/>
    <w:basedOn w:val="Normal"/>
    <w:next w:val="Normal"/>
    <w:link w:val="Heading5Char"/>
    <w:uiPriority w:val="9"/>
    <w:semiHidden/>
    <w:unhideWhenUsed/>
    <w:qFormat/>
    <w:rsid w:val="00907AD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907AD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907AD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907AD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907AD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FB9"/>
    <w:rPr>
      <w:rFonts w:ascii="Arial" w:eastAsia="Times New Roman" w:hAnsi="Arial" w:cs="Arial"/>
      <w:b/>
      <w:sz w:val="28"/>
      <w:szCs w:val="24"/>
      <w:lang w:eastAsia="en-GB"/>
    </w:rPr>
  </w:style>
  <w:style w:type="character" w:customStyle="1" w:styleId="Heading2Char">
    <w:name w:val="Heading 2 Char"/>
    <w:basedOn w:val="DefaultParagraphFont"/>
    <w:link w:val="Heading2"/>
    <w:uiPriority w:val="9"/>
    <w:rsid w:val="00710FB9"/>
    <w:rPr>
      <w:rFonts w:ascii="Arial" w:eastAsia="Times New Roman" w:hAnsi="Arial" w:cs="Arial"/>
      <w:b/>
      <w:sz w:val="28"/>
      <w:szCs w:val="24"/>
      <w:lang w:eastAsia="en-GB"/>
    </w:rPr>
  </w:style>
  <w:style w:type="character" w:customStyle="1" w:styleId="Heading3Char">
    <w:name w:val="Heading 3 Char"/>
    <w:basedOn w:val="DefaultParagraphFont"/>
    <w:link w:val="Heading3"/>
    <w:uiPriority w:val="9"/>
    <w:rsid w:val="00710FB9"/>
    <w:rPr>
      <w:rFonts w:ascii="Arial" w:eastAsia="Times New Roman" w:hAnsi="Arial" w:cs="Arial"/>
      <w:b/>
      <w:sz w:val="28"/>
      <w:szCs w:val="24"/>
      <w:lang w:eastAsia="en-GB"/>
    </w:rPr>
  </w:style>
  <w:style w:type="character" w:customStyle="1" w:styleId="Heading4Char">
    <w:name w:val="Heading 4 Char"/>
    <w:basedOn w:val="DefaultParagraphFont"/>
    <w:link w:val="Heading4"/>
    <w:uiPriority w:val="9"/>
    <w:rsid w:val="00710FB9"/>
    <w:rPr>
      <w:rFonts w:ascii="Arial" w:eastAsia="Times New Roman" w:hAnsi="Arial" w:cs="Arial"/>
      <w:b/>
      <w:sz w:val="28"/>
      <w:szCs w:val="24"/>
      <w:lang w:eastAsia="en-GB"/>
    </w:rPr>
  </w:style>
  <w:style w:type="character" w:customStyle="1" w:styleId="Heading5Char">
    <w:name w:val="Heading 5 Char"/>
    <w:basedOn w:val="DefaultParagraphFont"/>
    <w:link w:val="Heading5"/>
    <w:uiPriority w:val="9"/>
    <w:semiHidden/>
    <w:rsid w:val="00907AD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907AD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907AD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907AD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907AD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907AD6"/>
    <w:pPr>
      <w:spacing w:line="240" w:lineRule="auto"/>
    </w:pPr>
    <w:rPr>
      <w:b/>
      <w:bCs/>
      <w:smallCaps/>
      <w:color w:val="1F497D" w:themeColor="text2"/>
    </w:rPr>
  </w:style>
  <w:style w:type="paragraph" w:styleId="Title">
    <w:name w:val="Title"/>
    <w:basedOn w:val="Normal"/>
    <w:next w:val="Normal"/>
    <w:link w:val="TitleChar"/>
    <w:uiPriority w:val="10"/>
    <w:qFormat/>
    <w:rsid w:val="00907AD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07AD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907AD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907AD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907AD6"/>
    <w:rPr>
      <w:b/>
      <w:bCs/>
    </w:rPr>
  </w:style>
  <w:style w:type="character" w:styleId="Emphasis">
    <w:name w:val="Emphasis"/>
    <w:basedOn w:val="DefaultParagraphFont"/>
    <w:uiPriority w:val="20"/>
    <w:qFormat/>
    <w:rsid w:val="00907AD6"/>
    <w:rPr>
      <w:i/>
      <w:iCs/>
    </w:rPr>
  </w:style>
  <w:style w:type="paragraph" w:styleId="NoSpacing">
    <w:name w:val="No Spacing"/>
    <w:uiPriority w:val="1"/>
    <w:qFormat/>
    <w:rsid w:val="00907AD6"/>
    <w:pPr>
      <w:spacing w:after="0" w:line="240" w:lineRule="auto"/>
    </w:pPr>
  </w:style>
  <w:style w:type="paragraph" w:styleId="Quote">
    <w:name w:val="Quote"/>
    <w:basedOn w:val="Normal"/>
    <w:next w:val="Normal"/>
    <w:link w:val="QuoteChar"/>
    <w:uiPriority w:val="29"/>
    <w:qFormat/>
    <w:rsid w:val="00907AD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907AD6"/>
    <w:rPr>
      <w:color w:val="1F497D" w:themeColor="text2"/>
      <w:sz w:val="24"/>
      <w:szCs w:val="24"/>
    </w:rPr>
  </w:style>
  <w:style w:type="paragraph" w:styleId="IntenseQuote">
    <w:name w:val="Intense Quote"/>
    <w:basedOn w:val="Normal"/>
    <w:next w:val="Normal"/>
    <w:link w:val="IntenseQuoteChar"/>
    <w:uiPriority w:val="30"/>
    <w:qFormat/>
    <w:rsid w:val="00907AD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07AD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907AD6"/>
    <w:rPr>
      <w:i/>
      <w:iCs/>
      <w:color w:val="595959" w:themeColor="text1" w:themeTint="A6"/>
    </w:rPr>
  </w:style>
  <w:style w:type="character" w:styleId="IntenseEmphasis">
    <w:name w:val="Intense Emphasis"/>
    <w:basedOn w:val="DefaultParagraphFont"/>
    <w:uiPriority w:val="21"/>
    <w:qFormat/>
    <w:rsid w:val="00907AD6"/>
    <w:rPr>
      <w:b/>
      <w:bCs/>
      <w:i/>
      <w:iCs/>
    </w:rPr>
  </w:style>
  <w:style w:type="character" w:styleId="SubtleReference">
    <w:name w:val="Subtle Reference"/>
    <w:basedOn w:val="DefaultParagraphFont"/>
    <w:uiPriority w:val="31"/>
    <w:qFormat/>
    <w:rsid w:val="00907AD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07AD6"/>
    <w:rPr>
      <w:b/>
      <w:bCs/>
      <w:smallCaps/>
      <w:color w:val="1F497D" w:themeColor="text2"/>
      <w:u w:val="single"/>
    </w:rPr>
  </w:style>
  <w:style w:type="character" w:styleId="BookTitle">
    <w:name w:val="Book Title"/>
    <w:basedOn w:val="DefaultParagraphFont"/>
    <w:uiPriority w:val="33"/>
    <w:qFormat/>
    <w:rsid w:val="00907AD6"/>
    <w:rPr>
      <w:b/>
      <w:bCs/>
      <w:smallCaps/>
      <w:spacing w:val="10"/>
    </w:rPr>
  </w:style>
  <w:style w:type="paragraph" w:styleId="TOCHeading">
    <w:name w:val="TOC Heading"/>
    <w:basedOn w:val="Heading1"/>
    <w:next w:val="Normal"/>
    <w:uiPriority w:val="39"/>
    <w:semiHidden/>
    <w:unhideWhenUsed/>
    <w:qFormat/>
    <w:rsid w:val="00907AD6"/>
    <w:pPr>
      <w:outlineLvl w:val="9"/>
    </w:pPr>
  </w:style>
  <w:style w:type="paragraph" w:styleId="Header">
    <w:name w:val="header"/>
    <w:basedOn w:val="Normal"/>
    <w:link w:val="HeaderChar"/>
    <w:uiPriority w:val="99"/>
    <w:unhideWhenUsed/>
    <w:rsid w:val="003C7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E86"/>
  </w:style>
  <w:style w:type="paragraph" w:styleId="Footer">
    <w:name w:val="footer"/>
    <w:basedOn w:val="Normal"/>
    <w:link w:val="FooterChar"/>
    <w:uiPriority w:val="99"/>
    <w:unhideWhenUsed/>
    <w:rsid w:val="003C7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E86"/>
  </w:style>
  <w:style w:type="character" w:styleId="Hyperlink">
    <w:name w:val="Hyperlink"/>
    <w:basedOn w:val="DefaultParagraphFont"/>
    <w:unhideWhenUsed/>
    <w:rsid w:val="00907AD6"/>
    <w:rPr>
      <w:color w:val="0000FF"/>
      <w:u w:val="single"/>
    </w:rPr>
  </w:style>
  <w:style w:type="paragraph" w:customStyle="1" w:styleId="Style1">
    <w:name w:val="Style1"/>
    <w:basedOn w:val="Normal"/>
    <w:uiPriority w:val="99"/>
    <w:rsid w:val="00907AD6"/>
    <w:pPr>
      <w:numPr>
        <w:numId w:val="1"/>
      </w:numPr>
      <w:spacing w:after="0"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uiPriority w:val="99"/>
    <w:rsid w:val="00907AD6"/>
    <w:rPr>
      <w:rFonts w:ascii="Consolas" w:hAnsi="Consolas"/>
    </w:rPr>
  </w:style>
  <w:style w:type="paragraph" w:styleId="PlainText">
    <w:name w:val="Plain Text"/>
    <w:basedOn w:val="Normal"/>
    <w:link w:val="PlainTextChar"/>
    <w:uiPriority w:val="99"/>
    <w:rsid w:val="00907AD6"/>
    <w:pPr>
      <w:spacing w:after="0" w:line="240" w:lineRule="auto"/>
    </w:pPr>
    <w:rPr>
      <w:rFonts w:ascii="Consolas" w:hAnsi="Consolas"/>
    </w:rPr>
  </w:style>
  <w:style w:type="character" w:customStyle="1" w:styleId="PlainTextChar1">
    <w:name w:val="Plain Text Char1"/>
    <w:basedOn w:val="DefaultParagraphFont"/>
    <w:uiPriority w:val="99"/>
    <w:semiHidden/>
    <w:rsid w:val="00907AD6"/>
    <w:rPr>
      <w:rFonts w:ascii="Consolas" w:hAnsi="Consolas" w:cs="Consolas"/>
      <w:sz w:val="21"/>
      <w:szCs w:val="21"/>
    </w:rPr>
  </w:style>
  <w:style w:type="paragraph" w:styleId="NormalWeb">
    <w:name w:val="Normal (Web)"/>
    <w:basedOn w:val="Normal"/>
    <w:uiPriority w:val="99"/>
    <w:unhideWhenUsed/>
    <w:rsid w:val="00907A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24DC8"/>
    <w:rPr>
      <w:color w:val="800080" w:themeColor="followedHyperlink"/>
      <w:u w:val="single"/>
    </w:rPr>
  </w:style>
  <w:style w:type="paragraph" w:customStyle="1" w:styleId="Default">
    <w:name w:val="Default"/>
    <w:rsid w:val="00CE6DC5"/>
    <w:pPr>
      <w:autoSpaceDE w:val="0"/>
      <w:autoSpaceDN w:val="0"/>
      <w:adjustRightInd w:val="0"/>
      <w:spacing w:after="0" w:line="240" w:lineRule="auto"/>
    </w:pPr>
    <w:rPr>
      <w:rFonts w:ascii="Arial" w:eastAsia="Calibri" w:hAnsi="Arial" w:cs="Arial"/>
      <w:color w:val="000000"/>
      <w:sz w:val="24"/>
      <w:szCs w:val="24"/>
    </w:rPr>
  </w:style>
  <w:style w:type="paragraph" w:customStyle="1" w:styleId="bullet">
    <w:name w:val="bullet"/>
    <w:basedOn w:val="Normal"/>
    <w:next w:val="Normal"/>
    <w:link w:val="bulletChar"/>
    <w:rsid w:val="00CE48CE"/>
    <w:pPr>
      <w:numPr>
        <w:numId w:val="3"/>
      </w:numPr>
      <w:spacing w:after="0" w:line="240" w:lineRule="auto"/>
    </w:pPr>
    <w:rPr>
      <w:rFonts w:ascii="Arial" w:eastAsia="Times New Roman" w:hAnsi="Arial" w:cs="Times New Roman"/>
      <w:sz w:val="24"/>
      <w:szCs w:val="20"/>
    </w:rPr>
  </w:style>
  <w:style w:type="character" w:customStyle="1" w:styleId="bulletChar">
    <w:name w:val="bullet Char"/>
    <w:basedOn w:val="DefaultParagraphFont"/>
    <w:link w:val="bullet"/>
    <w:rsid w:val="00CE48CE"/>
    <w:rPr>
      <w:rFonts w:ascii="Arial" w:eastAsia="Times New Roman" w:hAnsi="Arial" w:cs="Times New Roman"/>
      <w:sz w:val="24"/>
      <w:szCs w:val="20"/>
    </w:rPr>
  </w:style>
  <w:style w:type="paragraph" w:styleId="BodyText">
    <w:name w:val="Body Text"/>
    <w:basedOn w:val="Default"/>
    <w:next w:val="Default"/>
    <w:link w:val="BodyTextChar"/>
    <w:uiPriority w:val="99"/>
    <w:rsid w:val="00CE48CE"/>
    <w:rPr>
      <w:color w:val="auto"/>
      <w:lang w:eastAsia="en-GB"/>
    </w:rPr>
  </w:style>
  <w:style w:type="character" w:customStyle="1" w:styleId="BodyTextChar">
    <w:name w:val="Body Text Char"/>
    <w:basedOn w:val="DefaultParagraphFont"/>
    <w:link w:val="BodyText"/>
    <w:uiPriority w:val="99"/>
    <w:rsid w:val="00CE48CE"/>
    <w:rPr>
      <w:rFonts w:ascii="Arial" w:eastAsia="Calibri" w:hAnsi="Arial" w:cs="Arial"/>
      <w:sz w:val="24"/>
      <w:szCs w:val="24"/>
      <w:lang w:eastAsia="en-GB"/>
    </w:rPr>
  </w:style>
  <w:style w:type="paragraph" w:customStyle="1" w:styleId="Tabtext">
    <w:name w:val="Tab text"/>
    <w:basedOn w:val="Normal"/>
    <w:link w:val="TabtextCharChar"/>
    <w:rsid w:val="000B11C0"/>
    <w:pPr>
      <w:spacing w:after="0" w:line="240" w:lineRule="auto"/>
      <w:ind w:left="720"/>
    </w:pPr>
    <w:rPr>
      <w:rFonts w:ascii="Arial" w:eastAsia="Times New Roman" w:hAnsi="Arial" w:cs="Times New Roman"/>
      <w:sz w:val="24"/>
      <w:szCs w:val="20"/>
    </w:rPr>
  </w:style>
  <w:style w:type="character" w:customStyle="1" w:styleId="TabtextCharChar">
    <w:name w:val="Tab text Char Char"/>
    <w:basedOn w:val="DefaultParagraphFont"/>
    <w:link w:val="Tabtext"/>
    <w:rsid w:val="000B11C0"/>
    <w:rPr>
      <w:rFonts w:ascii="Arial" w:eastAsia="Times New Roman" w:hAnsi="Arial" w:cs="Times New Roman"/>
      <w:sz w:val="24"/>
      <w:szCs w:val="20"/>
    </w:rPr>
  </w:style>
  <w:style w:type="paragraph" w:customStyle="1" w:styleId="CM129">
    <w:name w:val="CM129"/>
    <w:basedOn w:val="Normal"/>
    <w:next w:val="Normal"/>
    <w:uiPriority w:val="99"/>
    <w:rsid w:val="000B11C0"/>
    <w:pPr>
      <w:autoSpaceDE w:val="0"/>
      <w:autoSpaceDN w:val="0"/>
      <w:adjustRightInd w:val="0"/>
      <w:spacing w:after="0" w:line="240" w:lineRule="auto"/>
    </w:pPr>
    <w:rPr>
      <w:rFonts w:ascii="Myriad Pro" w:eastAsia="Calibri" w:hAnsi="Myriad Pro" w:cs="Times New Roman"/>
      <w:sz w:val="24"/>
      <w:szCs w:val="24"/>
      <w:lang w:eastAsia="en-GB"/>
    </w:rPr>
  </w:style>
  <w:style w:type="paragraph" w:styleId="ListParagraph">
    <w:name w:val="List Paragraph"/>
    <w:basedOn w:val="Normal"/>
    <w:qFormat/>
    <w:rsid w:val="00635A4A"/>
    <w:pPr>
      <w:spacing w:after="200" w:line="276" w:lineRule="auto"/>
      <w:ind w:left="720"/>
      <w:contextualSpacing/>
    </w:pPr>
    <w:rPr>
      <w:rFonts w:ascii="Calibri" w:eastAsia="Calibri" w:hAnsi="Calibri" w:cs="Times New Roman"/>
    </w:rPr>
  </w:style>
  <w:style w:type="paragraph" w:customStyle="1" w:styleId="SDHeading2">
    <w:name w:val="SD Heading 2"/>
    <w:basedOn w:val="Normal"/>
    <w:link w:val="SDHeading2Char"/>
    <w:rsid w:val="00635A4A"/>
    <w:pPr>
      <w:spacing w:after="0" w:line="240" w:lineRule="auto"/>
    </w:pPr>
    <w:rPr>
      <w:rFonts w:ascii="Arial" w:eastAsia="Times New Roman" w:hAnsi="Arial" w:cs="Times New Roman"/>
      <w:b/>
      <w:szCs w:val="20"/>
      <w:lang w:val="x-none" w:eastAsia="x-none"/>
    </w:rPr>
  </w:style>
  <w:style w:type="character" w:customStyle="1" w:styleId="SDHeading2Char">
    <w:name w:val="SD Heading 2 Char"/>
    <w:link w:val="SDHeading2"/>
    <w:rsid w:val="00635A4A"/>
    <w:rPr>
      <w:rFonts w:ascii="Arial" w:eastAsia="Times New Roman" w:hAnsi="Arial" w:cs="Times New Roman"/>
      <w:b/>
      <w:szCs w:val="20"/>
      <w:lang w:val="x-none" w:eastAsia="x-none"/>
    </w:rPr>
  </w:style>
  <w:style w:type="paragraph" w:customStyle="1" w:styleId="SDBodyText">
    <w:name w:val="SD Body Text"/>
    <w:basedOn w:val="Normal"/>
    <w:link w:val="SDBodyTextChar"/>
    <w:rsid w:val="00635A4A"/>
    <w:pPr>
      <w:spacing w:after="0" w:line="240" w:lineRule="auto"/>
    </w:pPr>
    <w:rPr>
      <w:rFonts w:ascii="Book Antiqua" w:eastAsia="Times New Roman" w:hAnsi="Book Antiqua" w:cs="Times New Roman"/>
      <w:szCs w:val="20"/>
      <w:lang w:val="x-none" w:eastAsia="x-none"/>
    </w:rPr>
  </w:style>
  <w:style w:type="character" w:customStyle="1" w:styleId="SDBodyTextChar">
    <w:name w:val="SD Body Text Char"/>
    <w:link w:val="SDBodyText"/>
    <w:rsid w:val="00635A4A"/>
    <w:rPr>
      <w:rFonts w:ascii="Book Antiqua" w:eastAsia="Times New Roman" w:hAnsi="Book Antiqua" w:cs="Times New Roman"/>
      <w:szCs w:val="20"/>
      <w:lang w:val="x-none" w:eastAsia="x-none"/>
    </w:rPr>
  </w:style>
  <w:style w:type="character" w:customStyle="1" w:styleId="SSBodyTextChar">
    <w:name w:val="SS Body Text Char"/>
    <w:link w:val="SSBodyText"/>
    <w:locked/>
    <w:rsid w:val="008375FB"/>
    <w:rPr>
      <w:rFonts w:ascii="Arial" w:eastAsia="Times New Roman" w:hAnsi="Arial" w:cs="Times New Roman"/>
      <w:szCs w:val="20"/>
      <w:lang w:eastAsia="en-GB"/>
    </w:rPr>
  </w:style>
  <w:style w:type="paragraph" w:customStyle="1" w:styleId="SSBodyText">
    <w:name w:val="SS Body Text"/>
    <w:basedOn w:val="Normal"/>
    <w:link w:val="SSBodyTextChar"/>
    <w:qFormat/>
    <w:rsid w:val="008375FB"/>
    <w:pPr>
      <w:spacing w:after="120" w:line="360" w:lineRule="exact"/>
    </w:pPr>
    <w:rPr>
      <w:rFonts w:ascii="Arial" w:eastAsia="Times New Roman" w:hAnsi="Arial" w:cs="Times New Roman"/>
      <w:szCs w:val="20"/>
      <w:lang w:eastAsia="en-GB"/>
    </w:rPr>
  </w:style>
  <w:style w:type="paragraph" w:styleId="Revision">
    <w:name w:val="Revision"/>
    <w:hidden/>
    <w:uiPriority w:val="99"/>
    <w:semiHidden/>
    <w:rsid w:val="00842220"/>
    <w:pPr>
      <w:spacing w:after="0" w:line="240" w:lineRule="auto"/>
    </w:pPr>
  </w:style>
  <w:style w:type="character" w:styleId="CommentReference">
    <w:name w:val="annotation reference"/>
    <w:basedOn w:val="DefaultParagraphFont"/>
    <w:uiPriority w:val="99"/>
    <w:semiHidden/>
    <w:unhideWhenUsed/>
    <w:rsid w:val="00842220"/>
    <w:rPr>
      <w:sz w:val="16"/>
      <w:szCs w:val="16"/>
    </w:rPr>
  </w:style>
  <w:style w:type="paragraph" w:styleId="CommentText">
    <w:name w:val="annotation text"/>
    <w:basedOn w:val="Normal"/>
    <w:link w:val="CommentTextChar"/>
    <w:uiPriority w:val="99"/>
    <w:unhideWhenUsed/>
    <w:rsid w:val="00842220"/>
    <w:pPr>
      <w:spacing w:line="240" w:lineRule="auto"/>
    </w:pPr>
    <w:rPr>
      <w:sz w:val="20"/>
      <w:szCs w:val="20"/>
    </w:rPr>
  </w:style>
  <w:style w:type="character" w:customStyle="1" w:styleId="CommentTextChar">
    <w:name w:val="Comment Text Char"/>
    <w:basedOn w:val="DefaultParagraphFont"/>
    <w:link w:val="CommentText"/>
    <w:uiPriority w:val="99"/>
    <w:rsid w:val="00842220"/>
    <w:rPr>
      <w:sz w:val="20"/>
      <w:szCs w:val="20"/>
    </w:rPr>
  </w:style>
  <w:style w:type="paragraph" w:styleId="CommentSubject">
    <w:name w:val="annotation subject"/>
    <w:basedOn w:val="CommentText"/>
    <w:next w:val="CommentText"/>
    <w:link w:val="CommentSubjectChar"/>
    <w:uiPriority w:val="99"/>
    <w:semiHidden/>
    <w:unhideWhenUsed/>
    <w:rsid w:val="00842220"/>
    <w:rPr>
      <w:b/>
      <w:bCs/>
    </w:rPr>
  </w:style>
  <w:style w:type="character" w:customStyle="1" w:styleId="CommentSubjectChar">
    <w:name w:val="Comment Subject Char"/>
    <w:basedOn w:val="CommentTextChar"/>
    <w:link w:val="CommentSubject"/>
    <w:uiPriority w:val="99"/>
    <w:semiHidden/>
    <w:rsid w:val="00842220"/>
    <w:rPr>
      <w:b/>
      <w:bCs/>
      <w:sz w:val="20"/>
      <w:szCs w:val="20"/>
    </w:rPr>
  </w:style>
  <w:style w:type="character" w:styleId="UnresolvedMention">
    <w:name w:val="Unresolved Mention"/>
    <w:basedOn w:val="DefaultParagraphFont"/>
    <w:uiPriority w:val="99"/>
    <w:semiHidden/>
    <w:unhideWhenUsed/>
    <w:rsid w:val="00842220"/>
    <w:rPr>
      <w:color w:val="605E5C"/>
      <w:shd w:val="clear" w:color="auto" w:fill="E1DFDD"/>
    </w:rPr>
  </w:style>
  <w:style w:type="paragraph" w:customStyle="1" w:styleId="pf0">
    <w:name w:val="pf0"/>
    <w:basedOn w:val="Normal"/>
    <w:rsid w:val="002A24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A245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8796">
      <w:bodyDiv w:val="1"/>
      <w:marLeft w:val="0"/>
      <w:marRight w:val="0"/>
      <w:marTop w:val="0"/>
      <w:marBottom w:val="0"/>
      <w:divBdr>
        <w:top w:val="none" w:sz="0" w:space="0" w:color="auto"/>
        <w:left w:val="none" w:sz="0" w:space="0" w:color="auto"/>
        <w:bottom w:val="none" w:sz="0" w:space="0" w:color="auto"/>
        <w:right w:val="none" w:sz="0" w:space="0" w:color="auto"/>
      </w:divBdr>
    </w:div>
    <w:div w:id="294988692">
      <w:bodyDiv w:val="1"/>
      <w:marLeft w:val="0"/>
      <w:marRight w:val="0"/>
      <w:marTop w:val="0"/>
      <w:marBottom w:val="0"/>
      <w:divBdr>
        <w:top w:val="none" w:sz="0" w:space="0" w:color="auto"/>
        <w:left w:val="none" w:sz="0" w:space="0" w:color="auto"/>
        <w:bottom w:val="none" w:sz="0" w:space="0" w:color="auto"/>
        <w:right w:val="none" w:sz="0" w:space="0" w:color="auto"/>
      </w:divBdr>
    </w:div>
    <w:div w:id="413288272">
      <w:bodyDiv w:val="1"/>
      <w:marLeft w:val="0"/>
      <w:marRight w:val="0"/>
      <w:marTop w:val="0"/>
      <w:marBottom w:val="0"/>
      <w:divBdr>
        <w:top w:val="none" w:sz="0" w:space="0" w:color="auto"/>
        <w:left w:val="none" w:sz="0" w:space="0" w:color="auto"/>
        <w:bottom w:val="none" w:sz="0" w:space="0" w:color="auto"/>
        <w:right w:val="none" w:sz="0" w:space="0" w:color="auto"/>
      </w:divBdr>
    </w:div>
    <w:div w:id="619148062">
      <w:bodyDiv w:val="1"/>
      <w:marLeft w:val="0"/>
      <w:marRight w:val="0"/>
      <w:marTop w:val="0"/>
      <w:marBottom w:val="0"/>
      <w:divBdr>
        <w:top w:val="none" w:sz="0" w:space="0" w:color="auto"/>
        <w:left w:val="none" w:sz="0" w:space="0" w:color="auto"/>
        <w:bottom w:val="none" w:sz="0" w:space="0" w:color="auto"/>
        <w:right w:val="none" w:sz="0" w:space="0" w:color="auto"/>
      </w:divBdr>
    </w:div>
    <w:div w:id="1268122856">
      <w:bodyDiv w:val="1"/>
      <w:marLeft w:val="0"/>
      <w:marRight w:val="0"/>
      <w:marTop w:val="0"/>
      <w:marBottom w:val="0"/>
      <w:divBdr>
        <w:top w:val="none" w:sz="0" w:space="0" w:color="auto"/>
        <w:left w:val="none" w:sz="0" w:space="0" w:color="auto"/>
        <w:bottom w:val="none" w:sz="0" w:space="0" w:color="auto"/>
        <w:right w:val="none" w:sz="0" w:space="0" w:color="auto"/>
      </w:divBdr>
    </w:div>
    <w:div w:id="1328438230">
      <w:bodyDiv w:val="1"/>
      <w:marLeft w:val="0"/>
      <w:marRight w:val="0"/>
      <w:marTop w:val="0"/>
      <w:marBottom w:val="0"/>
      <w:divBdr>
        <w:top w:val="none" w:sz="0" w:space="0" w:color="auto"/>
        <w:left w:val="none" w:sz="0" w:space="0" w:color="auto"/>
        <w:bottom w:val="none" w:sz="0" w:space="0" w:color="auto"/>
        <w:right w:val="none" w:sz="0" w:space="0" w:color="auto"/>
      </w:divBdr>
    </w:div>
    <w:div w:id="1968774269">
      <w:bodyDiv w:val="1"/>
      <w:marLeft w:val="0"/>
      <w:marRight w:val="0"/>
      <w:marTop w:val="0"/>
      <w:marBottom w:val="0"/>
      <w:divBdr>
        <w:top w:val="none" w:sz="0" w:space="0" w:color="auto"/>
        <w:left w:val="none" w:sz="0" w:space="0" w:color="auto"/>
        <w:bottom w:val="none" w:sz="0" w:space="0" w:color="auto"/>
        <w:right w:val="none" w:sz="0" w:space="0" w:color="auto"/>
      </w:divBdr>
    </w:div>
    <w:div w:id="1991250416">
      <w:bodyDiv w:val="1"/>
      <w:marLeft w:val="0"/>
      <w:marRight w:val="0"/>
      <w:marTop w:val="0"/>
      <w:marBottom w:val="0"/>
      <w:divBdr>
        <w:top w:val="none" w:sz="0" w:space="0" w:color="auto"/>
        <w:left w:val="none" w:sz="0" w:space="0" w:color="auto"/>
        <w:bottom w:val="none" w:sz="0" w:space="0" w:color="auto"/>
        <w:right w:val="none" w:sz="0" w:space="0" w:color="auto"/>
      </w:divBdr>
    </w:div>
    <w:div w:id="206189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wales/social-landlord-housing-stock-and-rents-quality-report-html" TargetMode="External"/><Relationship Id="rId13" Type="http://schemas.openxmlformats.org/officeDocument/2006/relationships/hyperlink" Target="https://gov.wales/social-landlord-housing-stock-and-rents" TargetMode="External"/><Relationship Id="rId18" Type="http://schemas.openxmlformats.org/officeDocument/2006/relationships/hyperlink" Target="https://www.communities-ni.gov.uk/articles/housing-regulation"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comments" Target="comments.xml"/><Relationship Id="rId7" Type="http://schemas.openxmlformats.org/officeDocument/2006/relationships/hyperlink" Target="https://www.gov.scot/collections/housing-revenue-account-statistics/" TargetMode="External"/><Relationship Id="rId12" Type="http://schemas.openxmlformats.org/officeDocument/2006/relationships/hyperlink" Target="https://gov.wales/data-collection-social-landlord-housing-stock-and-rent" TargetMode="External"/><Relationship Id="rId17" Type="http://schemas.openxmlformats.org/officeDocument/2006/relationships/hyperlink" Target="https://www.communities-ni.gov.uk/publications/review-reporting-housing-association-rents" TargetMode="External"/><Relationship Id="rId25" Type="http://schemas.openxmlformats.org/officeDocument/2006/relationships/hyperlink" Target="https://www.nihe.gov.uk/housing-help/apply-for-a-home/fundamental-review-of-allocations" TargetMode="External"/><Relationship Id="rId2" Type="http://schemas.openxmlformats.org/officeDocument/2006/relationships/styles" Target="styles.xml"/><Relationship Id="rId16" Type="http://schemas.openxmlformats.org/officeDocument/2006/relationships/hyperlink" Target="https://stats.gov.wales/en-GB/topic/69/social-housing" TargetMode="External"/><Relationship Id="rId20" Type="http://schemas.openxmlformats.org/officeDocument/2006/relationships/hyperlink" Target="https://www.nihe.gov.uk/About-Us/Corporate-Strategies/Homelessnes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wales/data-collection-social-landlord-housing-stock-and-rent"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www.gov.wales/dwelling-stock-estimates" TargetMode="External"/><Relationship Id="rId23" Type="http://schemas.microsoft.com/office/2016/09/relationships/commentsIds" Target="commentsIds.xml"/><Relationship Id="rId28" Type="http://schemas.microsoft.com/office/2011/relationships/people" Target="people.xml"/><Relationship Id="rId10" Type="http://schemas.openxmlformats.org/officeDocument/2006/relationships/hyperlink" Target="https://stats.gov.wales/en-GB/topic/69/social-housing" TargetMode="External"/><Relationship Id="rId19" Type="http://schemas.openxmlformats.org/officeDocument/2006/relationships/hyperlink" Target="https://www.nihe.gov.uk/Working-With-Us/Research/Homelessness" TargetMode="External"/><Relationship Id="rId4" Type="http://schemas.openxmlformats.org/officeDocument/2006/relationships/webSettings" Target="webSettings.xml"/><Relationship Id="rId9" Type="http://schemas.openxmlformats.org/officeDocument/2006/relationships/hyperlink" Target="https://gov.wales/social-landlord-housing-stock-and-rents" TargetMode="External"/><Relationship Id="rId14" Type="http://schemas.openxmlformats.org/officeDocument/2006/relationships/hyperlink" Target="https://stats.gov.wales/en-GB/topic/69/social-housing" TargetMode="External"/><Relationship Id="rId22" Type="http://schemas.microsoft.com/office/2011/relationships/commentsExtended" Target="commentsExtended.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4867</Words>
  <Characters>29595</Characters>
  <Application>Microsoft Office Word</Application>
  <DocSecurity>0</DocSecurity>
  <Lines>548</Lines>
  <Paragraphs>251</Paragraphs>
  <ScaleCrop>false</ScaleCrop>
  <HeadingPairs>
    <vt:vector size="2" baseType="variant">
      <vt:variant>
        <vt:lpstr>Title</vt:lpstr>
      </vt:variant>
      <vt:variant>
        <vt:i4>1</vt:i4>
      </vt:variant>
    </vt:vector>
  </HeadingPairs>
  <TitlesOfParts>
    <vt:vector size="1" baseType="lpstr">
      <vt:lpstr>Section three appendix: social renting demand</vt:lpstr>
    </vt:vector>
  </TitlesOfParts>
  <Company>NICS</Company>
  <LinksUpToDate>false</LinksUpToDate>
  <CharactersWithSpaces>34211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three appendix: social renting demand</dc:title>
  <dc:subject/>
  <dc:creator>McFadden, Katie</dc:creator>
  <cp:keywords/>
  <dc:description/>
  <cp:lastModifiedBy>McFadden, Katie</cp:lastModifiedBy>
  <cp:revision>4</cp:revision>
  <dcterms:created xsi:type="dcterms:W3CDTF">2026-09-23T14:38:00Z</dcterms:created>
  <dcterms:modified xsi:type="dcterms:W3CDTF">2026-09-28T14:22:00Z</dcterms:modified>
</cp:coreProperties>
</file>