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4E562" w14:textId="66103028" w:rsidR="00633FB5" w:rsidRPr="00633FB5" w:rsidRDefault="00580C4A" w:rsidP="00633FB5">
      <w:pPr>
        <w:pStyle w:val="Title"/>
        <w:spacing w:before="240" w:after="120" w:line="259" w:lineRule="auto"/>
        <w:contextualSpacing w:val="0"/>
      </w:pPr>
      <w:r w:rsidRPr="00543571">
        <w:t>Annex: Data Sources</w:t>
      </w:r>
    </w:p>
    <w:p w14:paraId="5E1B3563" w14:textId="77777777" w:rsidR="00D67F55" w:rsidRPr="0006428D" w:rsidRDefault="00D67F55" w:rsidP="00D67F55">
      <w:pPr>
        <w:pStyle w:val="Heading1"/>
        <w:spacing w:after="120" w:line="259" w:lineRule="auto"/>
      </w:pPr>
      <w:r w:rsidRPr="0006428D">
        <w:t xml:space="preserve">SECTION </w:t>
      </w:r>
      <w:r>
        <w:t xml:space="preserve">1. </w:t>
      </w:r>
      <w:r w:rsidRPr="0006428D">
        <w:t>SUPPLY</w:t>
      </w:r>
    </w:p>
    <w:p w14:paraId="54DC0ACE" w14:textId="77777777" w:rsidR="00D67F55" w:rsidRDefault="00D67F55" w:rsidP="00D67F55">
      <w:pPr>
        <w:pStyle w:val="Heading2"/>
      </w:pPr>
      <w:r w:rsidRPr="00543571">
        <w:t xml:space="preserve">Social Housing Development Programme </w:t>
      </w:r>
      <w:r>
        <w:t>(SHDP) Starts and Completions</w:t>
      </w:r>
    </w:p>
    <w:p w14:paraId="189753A2" w14:textId="77777777" w:rsidR="00D67F55" w:rsidRDefault="00D67F55" w:rsidP="00D67F55">
      <w:pPr>
        <w:jc w:val="both"/>
        <w:rPr>
          <w:rFonts w:ascii="Arial" w:hAnsi="Arial" w:cs="Arial"/>
          <w:bCs/>
          <w:i/>
          <w:color w:val="auto"/>
          <w:kern w:val="0"/>
          <w:sz w:val="22"/>
          <w:szCs w:val="24"/>
        </w:rPr>
      </w:pPr>
    </w:p>
    <w:p w14:paraId="00703CAE" w14:textId="77777777" w:rsidR="00D67F55" w:rsidRDefault="00D67F55" w:rsidP="00D67F55">
      <w:pPr>
        <w:jc w:val="both"/>
        <w:rPr>
          <w:rFonts w:ascii="Arial" w:hAnsi="Arial" w:cs="Arial"/>
          <w:color w:val="auto"/>
          <w:kern w:val="0"/>
          <w:sz w:val="22"/>
          <w:szCs w:val="24"/>
        </w:rPr>
      </w:pPr>
      <w:r w:rsidRPr="0006428D">
        <w:rPr>
          <w:rFonts w:ascii="Arial" w:hAnsi="Arial" w:cs="Arial"/>
          <w:bCs/>
          <w:i/>
          <w:color w:val="auto"/>
          <w:kern w:val="0"/>
          <w:sz w:val="22"/>
          <w:szCs w:val="24"/>
        </w:rPr>
        <w:t>Data Source and Validation</w:t>
      </w:r>
      <w:r w:rsidRPr="0006428D">
        <w:rPr>
          <w:rFonts w:ascii="Arial" w:hAnsi="Arial" w:cs="Arial"/>
          <w:color w:val="auto"/>
          <w:kern w:val="0"/>
          <w:sz w:val="22"/>
          <w:szCs w:val="24"/>
        </w:rPr>
        <w:t xml:space="preserve"> </w:t>
      </w:r>
    </w:p>
    <w:p w14:paraId="6CD495FB" w14:textId="77777777" w:rsidR="00D67F55" w:rsidRPr="0006428D" w:rsidRDefault="00D67F55" w:rsidP="00D67F55">
      <w:pPr>
        <w:jc w:val="both"/>
        <w:rPr>
          <w:rFonts w:ascii="Arial" w:hAnsi="Arial" w:cs="Arial"/>
          <w:color w:val="auto"/>
          <w:kern w:val="0"/>
          <w:sz w:val="22"/>
          <w:szCs w:val="24"/>
        </w:rPr>
      </w:pPr>
    </w:p>
    <w:p w14:paraId="328AB5EC" w14:textId="77777777" w:rsidR="00D67F55" w:rsidRPr="00250070" w:rsidRDefault="00D67F55" w:rsidP="00D67F55">
      <w:pPr>
        <w:jc w:val="both"/>
        <w:rPr>
          <w:rFonts w:ascii="Arial" w:hAnsi="Arial" w:cs="Arial"/>
          <w:color w:val="auto"/>
          <w:kern w:val="0"/>
          <w:sz w:val="22"/>
          <w:szCs w:val="24"/>
        </w:rPr>
      </w:pPr>
      <w:r w:rsidRPr="00250070">
        <w:rPr>
          <w:rFonts w:ascii="Arial" w:hAnsi="Arial" w:cs="Arial"/>
          <w:color w:val="auto"/>
          <w:kern w:val="0"/>
          <w:sz w:val="22"/>
          <w:szCs w:val="24"/>
        </w:rPr>
        <w:t>The Housing Executive’s Development Programme Group (DPG) manages the Social Housing Development Programme (SHDP) on behalf of the Department for Communities (DfC). DPG is responsible for recording all new social housing Starts and Completions based on information provided by housing association delivery partners.</w:t>
      </w:r>
    </w:p>
    <w:p w14:paraId="0E71E7CB" w14:textId="77777777" w:rsidR="00D67F55" w:rsidRPr="00250070" w:rsidRDefault="00D67F55" w:rsidP="00D67F55">
      <w:pPr>
        <w:jc w:val="both"/>
        <w:rPr>
          <w:rFonts w:ascii="Arial" w:hAnsi="Arial" w:cs="Arial"/>
          <w:color w:val="auto"/>
          <w:kern w:val="0"/>
          <w:sz w:val="22"/>
          <w:szCs w:val="24"/>
        </w:rPr>
      </w:pPr>
    </w:p>
    <w:p w14:paraId="42D60E0B" w14:textId="77777777" w:rsidR="00D67F55" w:rsidRPr="00250070" w:rsidRDefault="00D67F55" w:rsidP="00D67F55">
      <w:pPr>
        <w:jc w:val="both"/>
        <w:rPr>
          <w:rFonts w:ascii="Arial" w:eastAsia="Calibri" w:hAnsi="Arial" w:cs="Arial"/>
          <w:color w:val="auto"/>
          <w:kern w:val="2"/>
          <w:sz w:val="22"/>
          <w:szCs w:val="22"/>
          <w:lang w:eastAsia="en-US"/>
          <w14:ligatures w14:val="standardContextual"/>
        </w:rPr>
      </w:pPr>
      <w:r w:rsidRPr="00250070">
        <w:rPr>
          <w:rFonts w:ascii="Arial" w:hAnsi="Arial" w:cs="Arial"/>
          <w:color w:val="auto"/>
          <w:kern w:val="0"/>
          <w:sz w:val="22"/>
          <w:szCs w:val="24"/>
        </w:rPr>
        <w:t xml:space="preserve">Official DPG figures for new social housing Starts and Completions include all Scheme Types, i.e. New Build (Acquisition &amp; Works and Competitive Land, Design &amp; Build [CLD&amp;B] schemes), Off-the-Shelf ([OTS] first time acquisition from the private market), Existing Satisfactory Purchases ([ESPs] acquisition of existing homes from the private market), Acquisition &amp; Rehabilitation (acquisition of homes from the private market with more significant works required) and Re-improvement (normally reconfiguration of existing housing association stock) – full definitions of Scheme Type are available at </w:t>
      </w:r>
      <w:hyperlink r:id="rId8" w:history="1">
        <w:r w:rsidRPr="00250070">
          <w:rPr>
            <w:rFonts w:ascii="Arial" w:eastAsia="Calibri" w:hAnsi="Arial" w:cs="Arial"/>
            <w:color w:val="0563C1"/>
            <w:kern w:val="2"/>
            <w:sz w:val="22"/>
            <w:szCs w:val="22"/>
            <w:u w:val="single"/>
            <w:lang w:eastAsia="en-US"/>
            <w14:ligatures w14:val="standardContextual"/>
          </w:rPr>
          <w:t>Scheme types | Department for Communities (communities-ni.gov.uk)</w:t>
        </w:r>
      </w:hyperlink>
      <w:r w:rsidRPr="00250070">
        <w:rPr>
          <w:rFonts w:ascii="Arial" w:eastAsia="Calibri" w:hAnsi="Arial" w:cs="Arial"/>
          <w:color w:val="auto"/>
          <w:kern w:val="2"/>
          <w:sz w:val="22"/>
          <w:szCs w:val="22"/>
          <w:lang w:eastAsia="en-US"/>
          <w14:ligatures w14:val="standardContextual"/>
        </w:rPr>
        <w:t>.</w:t>
      </w:r>
    </w:p>
    <w:p w14:paraId="28E597C9" w14:textId="77777777" w:rsidR="00D67F55" w:rsidRPr="00250070" w:rsidRDefault="00D67F55" w:rsidP="00D67F55">
      <w:pPr>
        <w:jc w:val="both"/>
        <w:rPr>
          <w:rFonts w:ascii="Arial" w:eastAsia="Calibri" w:hAnsi="Arial" w:cs="Arial"/>
          <w:color w:val="auto"/>
          <w:kern w:val="2"/>
          <w:sz w:val="22"/>
          <w:szCs w:val="22"/>
          <w:lang w:eastAsia="en-US"/>
          <w14:ligatures w14:val="standardContextual"/>
        </w:rPr>
      </w:pPr>
    </w:p>
    <w:p w14:paraId="0AFCC10E" w14:textId="77777777" w:rsidR="00D67F55" w:rsidRPr="00250070" w:rsidRDefault="00D67F55" w:rsidP="00D67F55">
      <w:pPr>
        <w:jc w:val="both"/>
        <w:rPr>
          <w:rFonts w:ascii="Arial" w:eastAsia="Calibri" w:hAnsi="Arial" w:cs="Arial"/>
          <w:color w:val="auto"/>
          <w:kern w:val="2"/>
          <w:sz w:val="22"/>
          <w:szCs w:val="22"/>
          <w:lang w:eastAsia="en-US"/>
          <w14:ligatures w14:val="standardContextual"/>
        </w:rPr>
      </w:pPr>
      <w:r w:rsidRPr="00250070">
        <w:rPr>
          <w:rFonts w:ascii="Arial" w:eastAsia="Calibri" w:hAnsi="Arial" w:cs="Arial"/>
          <w:color w:val="auto"/>
          <w:kern w:val="2"/>
          <w:sz w:val="22"/>
          <w:szCs w:val="22"/>
          <w:lang w:eastAsia="en-US"/>
          <w14:ligatures w14:val="standardContextual"/>
        </w:rPr>
        <w:t>Data is populated on the database, in part, based on digital returns received from all Housing Associations. Prior to input onto the system the returns are checked and verified. Extracts from the database are also validated to ensure consistency over time and reliability of results.</w:t>
      </w:r>
    </w:p>
    <w:p w14:paraId="1D86F10F" w14:textId="77777777" w:rsidR="00D67F55" w:rsidRPr="00250070" w:rsidRDefault="00D67F55" w:rsidP="00D67F55">
      <w:pPr>
        <w:jc w:val="both"/>
        <w:rPr>
          <w:rFonts w:ascii="Arial" w:eastAsia="Calibri" w:hAnsi="Arial" w:cs="Arial"/>
          <w:color w:val="auto"/>
          <w:kern w:val="2"/>
          <w:sz w:val="22"/>
          <w:szCs w:val="22"/>
          <w:lang w:eastAsia="en-US"/>
          <w14:ligatures w14:val="standardContextual"/>
        </w:rPr>
      </w:pPr>
    </w:p>
    <w:p w14:paraId="5CDA7E0D" w14:textId="77777777" w:rsidR="00D67F55" w:rsidRPr="00250070" w:rsidRDefault="00D67F55" w:rsidP="00D67F55">
      <w:pPr>
        <w:jc w:val="both"/>
        <w:rPr>
          <w:rFonts w:ascii="Arial" w:eastAsia="Calibri" w:hAnsi="Arial" w:cs="Arial"/>
          <w:color w:val="auto"/>
          <w:kern w:val="2"/>
          <w:sz w:val="22"/>
          <w:szCs w:val="22"/>
          <w:lang w:eastAsia="en-US"/>
          <w14:ligatures w14:val="standardContextual"/>
        </w:rPr>
      </w:pPr>
      <w:r w:rsidRPr="00250070">
        <w:rPr>
          <w:rFonts w:ascii="Arial" w:eastAsia="Calibri" w:hAnsi="Arial" w:cs="Arial"/>
          <w:color w:val="auto"/>
          <w:kern w:val="2"/>
          <w:sz w:val="22"/>
          <w:szCs w:val="22"/>
          <w:lang w:eastAsia="en-US"/>
          <w14:ligatures w14:val="standardContextual"/>
        </w:rPr>
        <w:t>The majority of social housing starts are confirmed in the final quarter of the programme year (i.e. January to March), as it often takes 6-9 months to secure Planning Permission for a new housing scheme.</w:t>
      </w:r>
    </w:p>
    <w:p w14:paraId="45229C01" w14:textId="77777777" w:rsidR="00D67F55" w:rsidRPr="00250070" w:rsidRDefault="00D67F55" w:rsidP="00D67F55">
      <w:pPr>
        <w:jc w:val="both"/>
        <w:rPr>
          <w:rFonts w:ascii="Arial" w:eastAsia="Calibri" w:hAnsi="Arial" w:cs="Arial"/>
          <w:color w:val="auto"/>
          <w:kern w:val="2"/>
          <w:sz w:val="22"/>
          <w:szCs w:val="22"/>
          <w:lang w:eastAsia="en-US"/>
          <w14:ligatures w14:val="standardContextual"/>
        </w:rPr>
      </w:pPr>
    </w:p>
    <w:p w14:paraId="5BC79FB0" w14:textId="77777777" w:rsidR="00D67F55" w:rsidRPr="00250070" w:rsidRDefault="00D67F55" w:rsidP="00D67F55">
      <w:pPr>
        <w:jc w:val="both"/>
        <w:rPr>
          <w:rFonts w:ascii="Arial" w:eastAsia="Calibri" w:hAnsi="Arial" w:cs="Arial"/>
          <w:color w:val="auto"/>
          <w:kern w:val="2"/>
          <w:sz w:val="22"/>
          <w:szCs w:val="22"/>
          <w:lang w:eastAsia="en-US"/>
          <w14:ligatures w14:val="standardContextual"/>
        </w:rPr>
      </w:pPr>
      <w:r w:rsidRPr="00250070">
        <w:rPr>
          <w:rFonts w:ascii="Arial" w:eastAsia="Calibri" w:hAnsi="Arial" w:cs="Arial"/>
          <w:color w:val="auto"/>
          <w:kern w:val="2"/>
          <w:sz w:val="22"/>
          <w:szCs w:val="22"/>
          <w:lang w:eastAsia="en-US"/>
          <w14:ligatures w14:val="standardContextual"/>
        </w:rPr>
        <w:t xml:space="preserve">For accuracy, a social sector start on-site or completion </w:t>
      </w:r>
      <w:r w:rsidRPr="00250070">
        <w:rPr>
          <w:rFonts w:ascii="Arial" w:hAnsi="Arial" w:cs="Arial"/>
          <w:color w:val="auto"/>
          <w:kern w:val="0"/>
          <w:sz w:val="22"/>
          <w:szCs w:val="24"/>
        </w:rPr>
        <w:t>is only confirmed</w:t>
      </w:r>
      <w:r w:rsidRPr="00250070">
        <w:rPr>
          <w:rFonts w:ascii="Arial" w:eastAsia="Calibri" w:hAnsi="Arial" w:cs="Arial"/>
          <w:color w:val="auto"/>
          <w:kern w:val="2"/>
          <w:sz w:val="22"/>
          <w:szCs w:val="22"/>
          <w:lang w:eastAsia="en-US"/>
          <w14:ligatures w14:val="standardContextual"/>
        </w:rPr>
        <w:t xml:space="preserve"> when appropriate levels of paperwork are received from housing associations. All correspondence/updates are now electronic.</w:t>
      </w:r>
    </w:p>
    <w:p w14:paraId="14460E2A" w14:textId="77777777" w:rsidR="00D67F55" w:rsidRPr="00250070" w:rsidRDefault="00D67F55" w:rsidP="00D67F55">
      <w:pPr>
        <w:jc w:val="both"/>
        <w:rPr>
          <w:rFonts w:ascii="Arial" w:eastAsia="Calibri" w:hAnsi="Arial" w:cs="Arial"/>
          <w:color w:val="auto"/>
          <w:kern w:val="2"/>
          <w:sz w:val="22"/>
          <w:szCs w:val="22"/>
          <w:lang w:eastAsia="en-US"/>
          <w14:ligatures w14:val="standardContextual"/>
        </w:rPr>
      </w:pPr>
    </w:p>
    <w:p w14:paraId="5E9A11F6" w14:textId="77777777" w:rsidR="00D67F55" w:rsidRPr="00250070" w:rsidRDefault="00D67F55" w:rsidP="00D67F55">
      <w:pPr>
        <w:jc w:val="both"/>
        <w:rPr>
          <w:rFonts w:ascii="Arial" w:eastAsia="Calibri" w:hAnsi="Arial" w:cs="Arial"/>
          <w:color w:val="auto"/>
          <w:kern w:val="2"/>
          <w:sz w:val="22"/>
          <w:szCs w:val="22"/>
          <w:lang w:eastAsia="en-US"/>
          <w14:ligatures w14:val="standardContextual"/>
        </w:rPr>
      </w:pPr>
      <w:r w:rsidRPr="00250070">
        <w:rPr>
          <w:rFonts w:ascii="Arial" w:eastAsia="Calibri" w:hAnsi="Arial" w:cs="Arial"/>
          <w:color w:val="auto"/>
          <w:kern w:val="2"/>
          <w:sz w:val="22"/>
          <w:szCs w:val="22"/>
          <w:lang w:eastAsia="en-US"/>
          <w14:ligatures w14:val="standardContextual"/>
        </w:rPr>
        <w:t>In the case of social sector new build starts on-site, this will include:</w:t>
      </w:r>
    </w:p>
    <w:p w14:paraId="57AFE6C1" w14:textId="77777777" w:rsidR="00D67F55" w:rsidRPr="00250070" w:rsidRDefault="00D67F55" w:rsidP="00D67F55">
      <w:pPr>
        <w:jc w:val="both"/>
        <w:rPr>
          <w:rFonts w:ascii="Arial" w:eastAsia="Calibri" w:hAnsi="Arial" w:cs="Arial"/>
          <w:color w:val="auto"/>
          <w:kern w:val="2"/>
          <w:sz w:val="22"/>
          <w:szCs w:val="22"/>
          <w:lang w:eastAsia="en-US"/>
          <w14:ligatures w14:val="standardContextual"/>
        </w:rPr>
      </w:pPr>
    </w:p>
    <w:p w14:paraId="12345288" w14:textId="77777777" w:rsidR="00D67F55" w:rsidRPr="00250070" w:rsidRDefault="00D67F55" w:rsidP="00D67F55">
      <w:pPr>
        <w:pStyle w:val="ListParagraph"/>
        <w:numPr>
          <w:ilvl w:val="0"/>
          <w:numId w:val="12"/>
        </w:numPr>
        <w:jc w:val="both"/>
        <w:rPr>
          <w:rFonts w:ascii="Arial" w:eastAsia="Calibri" w:hAnsi="Arial" w:cs="Arial"/>
          <w:kern w:val="2"/>
          <w:sz w:val="22"/>
          <w:szCs w:val="22"/>
          <w:lang w:eastAsia="en-US"/>
          <w14:ligatures w14:val="standardContextual"/>
        </w:rPr>
      </w:pPr>
      <w:r w:rsidRPr="00250070">
        <w:rPr>
          <w:rFonts w:ascii="Arial" w:eastAsia="Calibri" w:hAnsi="Arial" w:cs="Arial"/>
          <w:kern w:val="2"/>
          <w:sz w:val="22"/>
          <w:szCs w:val="22"/>
          <w:lang w:eastAsia="en-US"/>
          <w14:ligatures w14:val="standardContextual"/>
        </w:rPr>
        <w:t>A solicitor’s letter confirming that the site is in the ownership of the housing association;</w:t>
      </w:r>
    </w:p>
    <w:p w14:paraId="7C4EEBC4" w14:textId="77777777" w:rsidR="00D67F55" w:rsidRPr="00250070" w:rsidRDefault="00D67F55" w:rsidP="00D67F55">
      <w:pPr>
        <w:pStyle w:val="ListParagraph"/>
        <w:numPr>
          <w:ilvl w:val="0"/>
          <w:numId w:val="12"/>
        </w:numPr>
        <w:jc w:val="both"/>
        <w:rPr>
          <w:rFonts w:ascii="Arial" w:eastAsia="Calibri" w:hAnsi="Arial" w:cs="Arial"/>
          <w:kern w:val="2"/>
          <w:sz w:val="22"/>
          <w:szCs w:val="22"/>
          <w:lang w:eastAsia="en-US"/>
          <w14:ligatures w14:val="standardContextual"/>
        </w:rPr>
      </w:pPr>
      <w:r w:rsidRPr="00250070">
        <w:rPr>
          <w:rFonts w:ascii="Arial" w:eastAsia="Calibri" w:hAnsi="Arial" w:cs="Arial"/>
          <w:kern w:val="2"/>
          <w:sz w:val="22"/>
          <w:szCs w:val="22"/>
          <w:lang w:eastAsia="en-US"/>
          <w14:ligatures w14:val="standardContextual"/>
        </w:rPr>
        <w:t>Proof of Planning Permission;</w:t>
      </w:r>
    </w:p>
    <w:p w14:paraId="7AB7BF87" w14:textId="77777777" w:rsidR="00D67F55" w:rsidRPr="00250070" w:rsidRDefault="00D67F55" w:rsidP="00D67F55">
      <w:pPr>
        <w:pStyle w:val="ListParagraph"/>
        <w:numPr>
          <w:ilvl w:val="0"/>
          <w:numId w:val="12"/>
        </w:numPr>
        <w:jc w:val="both"/>
        <w:rPr>
          <w:rFonts w:ascii="Arial" w:eastAsia="Calibri" w:hAnsi="Arial" w:cs="Arial"/>
          <w:kern w:val="2"/>
          <w:sz w:val="22"/>
          <w:szCs w:val="22"/>
          <w:lang w:eastAsia="en-US"/>
          <w14:ligatures w14:val="standardContextual"/>
        </w:rPr>
      </w:pPr>
      <w:r w:rsidRPr="00250070">
        <w:rPr>
          <w:rFonts w:ascii="Arial" w:eastAsia="Calibri" w:hAnsi="Arial" w:cs="Arial"/>
          <w:kern w:val="2"/>
          <w:sz w:val="22"/>
          <w:szCs w:val="22"/>
          <w:lang w:eastAsia="en-US"/>
          <w14:ligatures w14:val="standardContextual"/>
        </w:rPr>
        <w:t>An extract of the Works Contract/Development Agreement or a Development Agreement confirming contractor’s/developer’s date of possession of the site.</w:t>
      </w:r>
    </w:p>
    <w:p w14:paraId="763B8BA9" w14:textId="77777777" w:rsidR="00D67F55" w:rsidRPr="00250070" w:rsidRDefault="00D67F55" w:rsidP="00D67F55">
      <w:pPr>
        <w:jc w:val="both"/>
        <w:rPr>
          <w:rFonts w:ascii="Arial" w:eastAsia="Calibri" w:hAnsi="Arial" w:cs="Arial"/>
          <w:kern w:val="2"/>
          <w:sz w:val="22"/>
          <w:szCs w:val="22"/>
          <w:lang w:eastAsia="en-US"/>
          <w14:ligatures w14:val="standardContextual"/>
        </w:rPr>
      </w:pPr>
    </w:p>
    <w:p w14:paraId="6569C8B4" w14:textId="77777777" w:rsidR="00D67F55" w:rsidRPr="00250070" w:rsidRDefault="00D67F55" w:rsidP="00D67F55">
      <w:pPr>
        <w:jc w:val="both"/>
        <w:rPr>
          <w:rFonts w:ascii="Arial" w:eastAsia="Calibri" w:hAnsi="Arial" w:cs="Arial"/>
          <w:color w:val="auto"/>
          <w:kern w:val="2"/>
          <w:sz w:val="22"/>
          <w:szCs w:val="22"/>
          <w:lang w:eastAsia="en-US"/>
          <w14:ligatures w14:val="standardContextual"/>
        </w:rPr>
      </w:pPr>
      <w:r w:rsidRPr="00250070">
        <w:rPr>
          <w:rFonts w:ascii="Arial" w:eastAsia="Calibri" w:hAnsi="Arial" w:cs="Arial"/>
          <w:color w:val="auto"/>
          <w:kern w:val="2"/>
          <w:sz w:val="22"/>
          <w:szCs w:val="22"/>
          <w:lang w:eastAsia="en-US"/>
          <w14:ligatures w14:val="standardContextual"/>
        </w:rPr>
        <w:t>Completions are recorded based on receipt of information from housing associations as follows:</w:t>
      </w:r>
    </w:p>
    <w:p w14:paraId="26459A67" w14:textId="77777777" w:rsidR="00D67F55" w:rsidRPr="00250070" w:rsidRDefault="00D67F55" w:rsidP="00D67F55">
      <w:pPr>
        <w:jc w:val="both"/>
        <w:rPr>
          <w:rFonts w:ascii="Arial" w:eastAsia="Calibri" w:hAnsi="Arial" w:cs="Arial"/>
          <w:color w:val="auto"/>
          <w:kern w:val="2"/>
          <w:sz w:val="22"/>
          <w:szCs w:val="22"/>
          <w:lang w:eastAsia="en-US"/>
          <w14:ligatures w14:val="standardContextual"/>
        </w:rPr>
      </w:pPr>
    </w:p>
    <w:p w14:paraId="5741224E" w14:textId="77777777" w:rsidR="00D67F55" w:rsidRPr="00250070" w:rsidRDefault="00D67F55" w:rsidP="00D67F55">
      <w:pPr>
        <w:pStyle w:val="ListParagraph"/>
        <w:numPr>
          <w:ilvl w:val="0"/>
          <w:numId w:val="13"/>
        </w:numPr>
        <w:jc w:val="both"/>
        <w:rPr>
          <w:rFonts w:ascii="Arial" w:eastAsia="Calibri" w:hAnsi="Arial" w:cs="Arial"/>
          <w:kern w:val="2"/>
          <w:sz w:val="22"/>
          <w:szCs w:val="22"/>
          <w:lang w:eastAsia="en-US"/>
          <w14:ligatures w14:val="standardContextual"/>
        </w:rPr>
      </w:pPr>
      <w:r w:rsidRPr="00250070">
        <w:rPr>
          <w:rFonts w:ascii="Arial" w:eastAsia="Calibri" w:hAnsi="Arial" w:cs="Arial"/>
          <w:kern w:val="2"/>
          <w:sz w:val="22"/>
          <w:szCs w:val="22"/>
          <w:lang w:eastAsia="en-US"/>
          <w14:ligatures w14:val="standardContextual"/>
        </w:rPr>
        <w:t>New Build/Acquisition &amp; Rehabilitation/Re-improvement – Certificate of Practical Completion (covering the full scheme)</w:t>
      </w:r>
    </w:p>
    <w:p w14:paraId="78CDEFB6" w14:textId="77777777" w:rsidR="00D67F55" w:rsidRPr="00250070" w:rsidRDefault="00D67F55" w:rsidP="00D67F55">
      <w:pPr>
        <w:pStyle w:val="ListParagraph"/>
        <w:numPr>
          <w:ilvl w:val="0"/>
          <w:numId w:val="13"/>
        </w:numPr>
        <w:jc w:val="both"/>
        <w:rPr>
          <w:rFonts w:ascii="Arial" w:eastAsia="Calibri" w:hAnsi="Arial" w:cs="Arial"/>
          <w:kern w:val="2"/>
          <w:sz w:val="22"/>
          <w:szCs w:val="22"/>
          <w:lang w:eastAsia="en-US"/>
          <w14:ligatures w14:val="standardContextual"/>
        </w:rPr>
      </w:pPr>
      <w:r w:rsidRPr="00250070">
        <w:rPr>
          <w:rFonts w:ascii="Arial" w:eastAsia="Calibri" w:hAnsi="Arial" w:cs="Arial"/>
          <w:kern w:val="2"/>
          <w:sz w:val="22"/>
          <w:szCs w:val="22"/>
          <w:lang w:eastAsia="en-US"/>
          <w14:ligatures w14:val="standardContextual"/>
        </w:rPr>
        <w:t>Off-the-Shelf – a copy of a letter from the association’s Solicitor confirming that the land/property is in the association’s ownership.</w:t>
      </w:r>
    </w:p>
    <w:p w14:paraId="0F72101B" w14:textId="77777777" w:rsidR="00D67F55" w:rsidRPr="00250070" w:rsidRDefault="00D67F55" w:rsidP="00D67F55">
      <w:pPr>
        <w:pStyle w:val="ListParagraph"/>
        <w:numPr>
          <w:ilvl w:val="0"/>
          <w:numId w:val="13"/>
        </w:numPr>
        <w:jc w:val="both"/>
        <w:rPr>
          <w:rFonts w:ascii="Arial" w:eastAsia="Calibri" w:hAnsi="Arial" w:cs="Arial"/>
          <w:kern w:val="2"/>
          <w:sz w:val="22"/>
          <w:szCs w:val="22"/>
          <w:lang w:eastAsia="en-US"/>
          <w14:ligatures w14:val="standardContextual"/>
        </w:rPr>
      </w:pPr>
      <w:r w:rsidRPr="00250070">
        <w:rPr>
          <w:rFonts w:ascii="Arial" w:eastAsia="Calibri" w:hAnsi="Arial" w:cs="Arial"/>
          <w:kern w:val="2"/>
          <w:sz w:val="22"/>
          <w:szCs w:val="22"/>
          <w:lang w:eastAsia="en-US"/>
          <w14:ligatures w14:val="standardContextual"/>
        </w:rPr>
        <w:t>Existing Satisfactory Purchase – an authorised itemised cost breakdown of completed work for each dwelling.</w:t>
      </w:r>
    </w:p>
    <w:p w14:paraId="25E0A05F" w14:textId="77777777" w:rsidR="00D67F55" w:rsidRPr="00250070" w:rsidRDefault="00D67F55" w:rsidP="00D67F55">
      <w:pPr>
        <w:jc w:val="both"/>
        <w:rPr>
          <w:rFonts w:ascii="Arial" w:eastAsia="Calibri" w:hAnsi="Arial" w:cs="Arial"/>
          <w:kern w:val="2"/>
          <w:sz w:val="22"/>
          <w:szCs w:val="22"/>
          <w:lang w:eastAsia="en-US"/>
          <w14:ligatures w14:val="standardContextual"/>
        </w:rPr>
      </w:pPr>
    </w:p>
    <w:p w14:paraId="357517B5" w14:textId="77777777" w:rsidR="00D67F55" w:rsidRDefault="00D67F55" w:rsidP="00D67F55">
      <w:pPr>
        <w:jc w:val="both"/>
        <w:rPr>
          <w:rFonts w:ascii="Arial" w:eastAsia="Calibri" w:hAnsi="Arial" w:cs="Arial"/>
          <w:color w:val="auto"/>
          <w:kern w:val="2"/>
          <w:sz w:val="22"/>
          <w:szCs w:val="22"/>
          <w:lang w:eastAsia="en-US"/>
          <w14:ligatures w14:val="standardContextual"/>
        </w:rPr>
      </w:pPr>
    </w:p>
    <w:p w14:paraId="681B4142" w14:textId="77777777" w:rsidR="00D67F55" w:rsidRPr="00250070" w:rsidRDefault="00D67F55" w:rsidP="00D67F55">
      <w:pPr>
        <w:jc w:val="both"/>
        <w:rPr>
          <w:rFonts w:ascii="Arial" w:eastAsia="Calibri" w:hAnsi="Arial" w:cs="Arial"/>
          <w:color w:val="auto"/>
          <w:kern w:val="2"/>
          <w:sz w:val="22"/>
          <w:szCs w:val="22"/>
          <w:lang w:eastAsia="en-US"/>
          <w14:ligatures w14:val="standardContextual"/>
        </w:rPr>
      </w:pPr>
      <w:r w:rsidRPr="00250070">
        <w:rPr>
          <w:rFonts w:ascii="Arial" w:eastAsia="Calibri" w:hAnsi="Arial" w:cs="Arial"/>
          <w:color w:val="auto"/>
          <w:kern w:val="2"/>
          <w:sz w:val="22"/>
          <w:szCs w:val="22"/>
          <w:lang w:eastAsia="en-US"/>
          <w14:ligatures w14:val="standardContextual"/>
        </w:rPr>
        <w:lastRenderedPageBreak/>
        <w:t xml:space="preserve">With the exception of a very small numbers of ‘Re-improvement’ units (which relate to reconfiguration of existing housing association stock), the completion figures cover </w:t>
      </w:r>
      <w:r w:rsidRPr="00250070">
        <w:rPr>
          <w:rFonts w:ascii="Arial" w:eastAsia="Calibri" w:hAnsi="Arial" w:cs="Arial"/>
          <w:color w:val="auto"/>
          <w:kern w:val="2"/>
          <w:sz w:val="22"/>
          <w:szCs w:val="22"/>
          <w:u w:val="single"/>
          <w:lang w:eastAsia="en-US"/>
          <w14:ligatures w14:val="standardContextual"/>
        </w:rPr>
        <w:t>all new additions to the overall social housing stock in Northern Ireland</w:t>
      </w:r>
      <w:r w:rsidRPr="00250070">
        <w:rPr>
          <w:rFonts w:ascii="Arial" w:eastAsia="Calibri" w:hAnsi="Arial" w:cs="Arial"/>
          <w:color w:val="auto"/>
          <w:kern w:val="2"/>
          <w:sz w:val="22"/>
          <w:szCs w:val="22"/>
          <w:lang w:eastAsia="en-US"/>
          <w14:ligatures w14:val="standardContextual"/>
        </w:rPr>
        <w:t>, i.e. whether New Build, or acquisition of properties from the private market.</w:t>
      </w:r>
    </w:p>
    <w:p w14:paraId="78A37E41" w14:textId="77777777" w:rsidR="00D67F55" w:rsidRPr="00250070" w:rsidRDefault="00D67F55" w:rsidP="00D67F55">
      <w:pPr>
        <w:jc w:val="both"/>
        <w:rPr>
          <w:rFonts w:ascii="Arial" w:eastAsia="Calibri" w:hAnsi="Arial" w:cs="Arial"/>
          <w:color w:val="auto"/>
          <w:kern w:val="2"/>
          <w:sz w:val="22"/>
          <w:szCs w:val="22"/>
          <w:lang w:eastAsia="en-US"/>
          <w14:ligatures w14:val="standardContextual"/>
        </w:rPr>
      </w:pPr>
    </w:p>
    <w:p w14:paraId="332F786D" w14:textId="77777777" w:rsidR="00D67F55" w:rsidRPr="00987555" w:rsidRDefault="00D67F55" w:rsidP="00D67F55">
      <w:pPr>
        <w:jc w:val="both"/>
        <w:rPr>
          <w:rStyle w:val="Hyperlink"/>
          <w:rFonts w:ascii="Arial" w:hAnsi="Arial" w:cs="Arial"/>
          <w:color w:val="FF0000"/>
          <w:kern w:val="0"/>
          <w:sz w:val="22"/>
          <w:szCs w:val="24"/>
          <w:u w:val="none"/>
        </w:rPr>
      </w:pPr>
      <w:r w:rsidRPr="00250070">
        <w:rPr>
          <w:rFonts w:ascii="Arial" w:eastAsia="Calibri" w:hAnsi="Arial" w:cs="Arial"/>
          <w:color w:val="auto"/>
          <w:kern w:val="2"/>
          <w:sz w:val="22"/>
          <w:szCs w:val="22"/>
          <w:lang w:eastAsia="en-US"/>
          <w14:ligatures w14:val="standardContextual"/>
        </w:rPr>
        <w:t xml:space="preserve">This differs from </w:t>
      </w:r>
      <w:hyperlink r:id="rId9" w:history="1">
        <w:r w:rsidRPr="00250070">
          <w:rPr>
            <w:rStyle w:val="Hyperlink"/>
            <w:rFonts w:ascii="Arial" w:hAnsi="Arial" w:cs="Arial"/>
            <w:kern w:val="0"/>
            <w:sz w:val="22"/>
            <w:szCs w:val="24"/>
          </w:rPr>
          <w:t>Building Control Starts and Completions</w:t>
        </w:r>
      </w:hyperlink>
      <w:r w:rsidRPr="00250070">
        <w:rPr>
          <w:rStyle w:val="Hyperlink"/>
          <w:rFonts w:ascii="Arial" w:hAnsi="Arial" w:cs="Arial"/>
          <w:kern w:val="0"/>
          <w:sz w:val="22"/>
          <w:szCs w:val="24"/>
        </w:rPr>
        <w:t xml:space="preserve"> </w:t>
      </w:r>
      <w:r w:rsidRPr="00250070">
        <w:rPr>
          <w:rStyle w:val="Hyperlink"/>
          <w:rFonts w:ascii="Arial" w:hAnsi="Arial" w:cs="Arial"/>
          <w:color w:val="auto"/>
          <w:kern w:val="0"/>
          <w:sz w:val="22"/>
          <w:szCs w:val="24"/>
          <w:u w:val="none"/>
        </w:rPr>
        <w:t>which are recorded as the date of first and last building control inspection</w:t>
      </w:r>
      <w:r w:rsidRPr="00250070">
        <w:rPr>
          <w:rStyle w:val="Hyperlink"/>
          <w:rFonts w:ascii="Arial" w:hAnsi="Arial" w:cs="Arial"/>
          <w:color w:val="auto"/>
          <w:kern w:val="0"/>
          <w:sz w:val="22"/>
          <w:szCs w:val="22"/>
          <w:u w:val="none"/>
        </w:rPr>
        <w:t xml:space="preserve">. </w:t>
      </w:r>
      <w:r w:rsidRPr="00250070">
        <w:rPr>
          <w:rFonts w:ascii="Arial" w:hAnsi="Arial" w:cs="Arial"/>
          <w:color w:val="auto"/>
          <w:kern w:val="0"/>
          <w:sz w:val="22"/>
          <w:szCs w:val="22"/>
        </w:rPr>
        <w:t>It should be noted that only the Building Control social housing development figures and the SHDP New build social housing figures can be compared.  The SHDP total social housing figures will include acquisition of existing private dwellings that have undergone extensive repair and improvements to become social housing.  As these are existing dwellings, they will not be included within the Building Control social housing development figures as these are a count of new dwellings only.</w:t>
      </w:r>
      <w:r w:rsidRPr="00250070">
        <w:rPr>
          <w:rFonts w:asciiTheme="minorHAnsi" w:hAnsiTheme="minorHAnsi" w:cstheme="minorHAnsi"/>
          <w:color w:val="auto"/>
          <w:kern w:val="0"/>
          <w:sz w:val="24"/>
          <w:szCs w:val="24"/>
        </w:rPr>
        <w:t xml:space="preserve">  </w:t>
      </w:r>
    </w:p>
    <w:p w14:paraId="3F2BCE55" w14:textId="77777777" w:rsidR="00D67F55" w:rsidRDefault="00D67F55" w:rsidP="00D67F55">
      <w:pPr>
        <w:jc w:val="both"/>
        <w:rPr>
          <w:rStyle w:val="Hyperlink"/>
          <w:rFonts w:ascii="Arial" w:hAnsi="Arial" w:cs="Arial"/>
          <w:color w:val="auto"/>
          <w:kern w:val="0"/>
          <w:sz w:val="22"/>
          <w:szCs w:val="24"/>
          <w:u w:val="none"/>
        </w:rPr>
      </w:pPr>
    </w:p>
    <w:p w14:paraId="0E975977" w14:textId="77777777" w:rsidR="00D67F55" w:rsidRPr="00394D9E" w:rsidRDefault="00D67F55" w:rsidP="00D67F55">
      <w:pPr>
        <w:jc w:val="both"/>
        <w:rPr>
          <w:rFonts w:ascii="Arial" w:hAnsi="Arial" w:cs="Arial"/>
          <w:color w:val="auto"/>
          <w:kern w:val="0"/>
          <w:sz w:val="22"/>
          <w:szCs w:val="24"/>
        </w:rPr>
      </w:pPr>
      <w:r>
        <w:rPr>
          <w:rFonts w:ascii="Arial" w:hAnsi="Arial" w:cs="Arial"/>
          <w:color w:val="auto"/>
          <w:kern w:val="0"/>
          <w:sz w:val="22"/>
          <w:szCs w:val="24"/>
        </w:rPr>
        <w:t>In addition,</w:t>
      </w:r>
      <w:r w:rsidRPr="00394D9E">
        <w:rPr>
          <w:rFonts w:ascii="Arial" w:hAnsi="Arial" w:cs="Arial"/>
          <w:color w:val="auto"/>
          <w:kern w:val="0"/>
          <w:sz w:val="22"/>
          <w:szCs w:val="24"/>
        </w:rPr>
        <w:t xml:space="preserve"> LPS ‘</w:t>
      </w:r>
      <w:hyperlink r:id="rId10" w:history="1">
        <w:r w:rsidRPr="00394D9E">
          <w:rPr>
            <w:rStyle w:val="Hyperlink"/>
            <w:rFonts w:ascii="Arial" w:hAnsi="Arial" w:cs="Arial"/>
            <w:kern w:val="0"/>
            <w:sz w:val="22"/>
            <w:szCs w:val="24"/>
          </w:rPr>
          <w:t>New Dwelling Statistics’</w:t>
        </w:r>
      </w:hyperlink>
      <w:r w:rsidRPr="00394D9E">
        <w:rPr>
          <w:rFonts w:ascii="Arial" w:hAnsi="Arial" w:cs="Arial"/>
          <w:color w:val="auto"/>
          <w:kern w:val="0"/>
          <w:sz w:val="22"/>
          <w:szCs w:val="24"/>
        </w:rPr>
        <w:t xml:space="preserve"> record domestic dwelling starts and completions as defined by Building Control purpose groups.</w:t>
      </w:r>
      <w:r>
        <w:rPr>
          <w:rFonts w:ascii="Arial" w:hAnsi="Arial" w:cs="Arial"/>
          <w:color w:val="auto"/>
          <w:kern w:val="0"/>
          <w:sz w:val="22"/>
          <w:szCs w:val="24"/>
        </w:rPr>
        <w:t xml:space="preserve"> </w:t>
      </w:r>
      <w:r w:rsidRPr="00394D9E">
        <w:rPr>
          <w:rFonts w:ascii="Arial" w:hAnsi="Arial" w:cs="Arial"/>
          <w:color w:val="auto"/>
          <w:kern w:val="0"/>
          <w:sz w:val="22"/>
          <w:szCs w:val="24"/>
        </w:rPr>
        <w:t>In mixed tenure developments, social housing units are typically built privately and subsequently acquired by social housing providers in ‘Off the Shelf’ transactions.</w:t>
      </w:r>
      <w:r>
        <w:rPr>
          <w:rFonts w:ascii="Arial" w:hAnsi="Arial" w:cs="Arial"/>
          <w:color w:val="auto"/>
          <w:kern w:val="0"/>
          <w:sz w:val="22"/>
          <w:szCs w:val="24"/>
        </w:rPr>
        <w:t xml:space="preserve"> </w:t>
      </w:r>
      <w:r w:rsidRPr="00394D9E">
        <w:rPr>
          <w:rFonts w:ascii="Arial" w:hAnsi="Arial" w:cs="Arial"/>
          <w:color w:val="auto"/>
          <w:kern w:val="0"/>
          <w:sz w:val="22"/>
          <w:szCs w:val="24"/>
        </w:rPr>
        <w:t>Therefore</w:t>
      </w:r>
      <w:r>
        <w:rPr>
          <w:rFonts w:ascii="Arial" w:hAnsi="Arial" w:cs="Arial"/>
          <w:color w:val="auto"/>
          <w:kern w:val="0"/>
          <w:sz w:val="22"/>
          <w:szCs w:val="24"/>
        </w:rPr>
        <w:t>,</w:t>
      </w:r>
      <w:r w:rsidRPr="00394D9E">
        <w:rPr>
          <w:rFonts w:ascii="Arial" w:hAnsi="Arial" w:cs="Arial"/>
          <w:color w:val="auto"/>
          <w:kern w:val="0"/>
          <w:sz w:val="22"/>
          <w:szCs w:val="24"/>
        </w:rPr>
        <w:t xml:space="preserve"> while Building Control purpose groups will correctly reflect construction of a privately owned dwelling, upon occupancy the property will</w:t>
      </w:r>
      <w:r>
        <w:rPr>
          <w:rFonts w:ascii="Arial" w:hAnsi="Arial" w:cs="Arial"/>
          <w:color w:val="auto"/>
          <w:kern w:val="0"/>
          <w:sz w:val="22"/>
          <w:szCs w:val="24"/>
        </w:rPr>
        <w:t>,</w:t>
      </w:r>
      <w:r w:rsidRPr="00394D9E">
        <w:rPr>
          <w:rFonts w:ascii="Arial" w:hAnsi="Arial" w:cs="Arial"/>
          <w:color w:val="auto"/>
          <w:kern w:val="0"/>
          <w:sz w:val="22"/>
          <w:szCs w:val="24"/>
        </w:rPr>
        <w:t xml:space="preserve"> by definition</w:t>
      </w:r>
      <w:r>
        <w:rPr>
          <w:rFonts w:ascii="Arial" w:hAnsi="Arial" w:cs="Arial"/>
          <w:color w:val="auto"/>
          <w:kern w:val="0"/>
          <w:sz w:val="22"/>
          <w:szCs w:val="24"/>
        </w:rPr>
        <w:t xml:space="preserve">, </w:t>
      </w:r>
      <w:r w:rsidRPr="00394D9E">
        <w:rPr>
          <w:rFonts w:ascii="Arial" w:hAnsi="Arial" w:cs="Arial"/>
          <w:color w:val="auto"/>
          <w:kern w:val="0"/>
          <w:sz w:val="22"/>
          <w:szCs w:val="24"/>
        </w:rPr>
        <w:t xml:space="preserve">be a social dwelling. </w:t>
      </w:r>
    </w:p>
    <w:p w14:paraId="5F4FE1C0" w14:textId="77777777" w:rsidR="00D67F55" w:rsidRPr="00EE7FF0" w:rsidRDefault="00D67F55" w:rsidP="00D67F55">
      <w:pPr>
        <w:jc w:val="both"/>
        <w:rPr>
          <w:rFonts w:ascii="Arial" w:eastAsia="Calibri" w:hAnsi="Arial" w:cs="Arial"/>
          <w:b/>
          <w:bCs/>
          <w:color w:val="auto"/>
          <w:kern w:val="2"/>
          <w:sz w:val="22"/>
          <w:szCs w:val="22"/>
          <w:lang w:eastAsia="en-US"/>
          <w14:ligatures w14:val="standardContextual"/>
        </w:rPr>
      </w:pPr>
    </w:p>
    <w:p w14:paraId="16947372" w14:textId="77777777" w:rsidR="00D67F55" w:rsidRDefault="00D67F55" w:rsidP="00D67F55">
      <w:pPr>
        <w:autoSpaceDE w:val="0"/>
        <w:autoSpaceDN w:val="0"/>
        <w:jc w:val="both"/>
        <w:rPr>
          <w:rFonts w:ascii="Arial" w:eastAsia="Calibri" w:hAnsi="Arial" w:cs="Arial"/>
          <w:bCs/>
          <w:i/>
          <w:color w:val="auto"/>
          <w:kern w:val="0"/>
          <w:sz w:val="22"/>
          <w:szCs w:val="24"/>
        </w:rPr>
      </w:pPr>
      <w:r w:rsidRPr="0006428D">
        <w:rPr>
          <w:rFonts w:ascii="Arial" w:eastAsia="Calibri" w:hAnsi="Arial" w:cs="Arial"/>
          <w:bCs/>
          <w:i/>
          <w:color w:val="auto"/>
          <w:kern w:val="0"/>
          <w:sz w:val="22"/>
          <w:szCs w:val="24"/>
        </w:rPr>
        <w:t>Accessibility/Timeliness</w:t>
      </w:r>
    </w:p>
    <w:p w14:paraId="581D9715" w14:textId="77777777" w:rsidR="00D67F55" w:rsidRPr="0006428D" w:rsidRDefault="00D67F55" w:rsidP="00D67F55">
      <w:pPr>
        <w:autoSpaceDE w:val="0"/>
        <w:autoSpaceDN w:val="0"/>
        <w:jc w:val="both"/>
        <w:rPr>
          <w:rFonts w:ascii="Arial" w:eastAsia="Calibri" w:hAnsi="Arial" w:cs="Arial"/>
          <w:b/>
          <w:bCs/>
          <w:i/>
          <w:color w:val="auto"/>
          <w:kern w:val="0"/>
          <w:sz w:val="22"/>
          <w:szCs w:val="24"/>
        </w:rPr>
      </w:pPr>
    </w:p>
    <w:p w14:paraId="0239E317" w14:textId="77777777" w:rsidR="00D67F55" w:rsidRPr="0006428D" w:rsidRDefault="00D67F55" w:rsidP="00D67F55">
      <w:pPr>
        <w:autoSpaceDE w:val="0"/>
        <w:autoSpaceDN w:val="0"/>
        <w:jc w:val="both"/>
        <w:rPr>
          <w:rFonts w:ascii="Arial" w:eastAsia="Calibri" w:hAnsi="Arial" w:cs="Arial"/>
          <w:color w:val="auto"/>
          <w:kern w:val="0"/>
          <w:sz w:val="22"/>
          <w:szCs w:val="24"/>
        </w:rPr>
      </w:pPr>
      <w:r w:rsidRPr="0006428D">
        <w:rPr>
          <w:rFonts w:ascii="Arial" w:eastAsia="Calibri" w:hAnsi="Arial" w:cs="Arial"/>
          <w:color w:val="auto"/>
          <w:kern w:val="0"/>
          <w:sz w:val="22"/>
          <w:szCs w:val="24"/>
        </w:rPr>
        <w:t xml:space="preserve">Annual social housing starts and completions data are available within DfC’s quarterly Northern Ireland Housing Bulletin and annually within the Northern Ireland Housing Statistics publication. </w:t>
      </w:r>
    </w:p>
    <w:p w14:paraId="01C99066" w14:textId="77777777" w:rsidR="00D67F55" w:rsidRPr="0006428D" w:rsidRDefault="00D67F55" w:rsidP="00D67F55">
      <w:pPr>
        <w:autoSpaceDE w:val="0"/>
        <w:autoSpaceDN w:val="0"/>
        <w:jc w:val="both"/>
        <w:rPr>
          <w:rFonts w:ascii="Arial" w:eastAsia="Calibri" w:hAnsi="Arial" w:cs="Arial"/>
          <w:color w:val="auto"/>
          <w:kern w:val="0"/>
          <w:sz w:val="22"/>
          <w:szCs w:val="24"/>
        </w:rPr>
      </w:pPr>
    </w:p>
    <w:p w14:paraId="2CB53E86" w14:textId="77777777" w:rsidR="00D67F55" w:rsidRPr="0006428D" w:rsidRDefault="00D67F55" w:rsidP="00D67F55">
      <w:pPr>
        <w:autoSpaceDE w:val="0"/>
        <w:autoSpaceDN w:val="0"/>
        <w:jc w:val="both"/>
        <w:rPr>
          <w:rFonts w:ascii="Arial" w:eastAsia="Calibri" w:hAnsi="Arial" w:cs="Arial"/>
          <w:color w:val="auto"/>
          <w:kern w:val="0"/>
          <w:sz w:val="22"/>
          <w:szCs w:val="24"/>
        </w:rPr>
      </w:pPr>
      <w:r w:rsidRPr="0006428D">
        <w:rPr>
          <w:rFonts w:ascii="Arial" w:eastAsia="Calibri" w:hAnsi="Arial" w:cs="Arial"/>
          <w:color w:val="auto"/>
          <w:kern w:val="0"/>
          <w:sz w:val="22"/>
          <w:szCs w:val="24"/>
        </w:rPr>
        <w:t>Historical information is available indicating where social hou</w:t>
      </w:r>
      <w:r>
        <w:rPr>
          <w:rFonts w:ascii="Arial" w:eastAsia="Calibri" w:hAnsi="Arial" w:cs="Arial"/>
          <w:color w:val="auto"/>
          <w:kern w:val="0"/>
          <w:sz w:val="22"/>
          <w:szCs w:val="24"/>
        </w:rPr>
        <w:t xml:space="preserve">sing has been provided over the </w:t>
      </w:r>
      <w:r w:rsidRPr="0006428D">
        <w:rPr>
          <w:rFonts w:ascii="Arial" w:eastAsia="Calibri" w:hAnsi="Arial" w:cs="Arial"/>
          <w:color w:val="auto"/>
          <w:kern w:val="0"/>
          <w:sz w:val="22"/>
          <w:szCs w:val="24"/>
        </w:rPr>
        <w:t>last 5 years. </w:t>
      </w:r>
    </w:p>
    <w:p w14:paraId="402C5E43" w14:textId="77777777" w:rsidR="00D67F55" w:rsidRPr="0006428D" w:rsidRDefault="00D67F55" w:rsidP="00D67F55">
      <w:pPr>
        <w:autoSpaceDE w:val="0"/>
        <w:autoSpaceDN w:val="0"/>
        <w:jc w:val="both"/>
        <w:rPr>
          <w:rFonts w:ascii="Arial" w:eastAsia="Calibri" w:hAnsi="Arial" w:cs="Arial"/>
          <w:color w:val="auto"/>
          <w:kern w:val="0"/>
          <w:sz w:val="22"/>
          <w:szCs w:val="24"/>
        </w:rPr>
      </w:pPr>
    </w:p>
    <w:p w14:paraId="0128FC65" w14:textId="77777777" w:rsidR="00D67F55" w:rsidRPr="0006428D" w:rsidRDefault="00D67F55" w:rsidP="00D67F55">
      <w:pPr>
        <w:autoSpaceDE w:val="0"/>
        <w:autoSpaceDN w:val="0"/>
        <w:jc w:val="both"/>
        <w:rPr>
          <w:rFonts w:ascii="Arial" w:eastAsia="Calibri" w:hAnsi="Arial" w:cs="Arial"/>
          <w:color w:val="auto"/>
          <w:kern w:val="0"/>
          <w:sz w:val="22"/>
          <w:szCs w:val="24"/>
        </w:rPr>
      </w:pPr>
      <w:r w:rsidRPr="0006428D">
        <w:rPr>
          <w:rFonts w:ascii="Arial" w:eastAsia="Calibri" w:hAnsi="Arial" w:cs="Arial"/>
          <w:color w:val="auto"/>
          <w:kern w:val="0"/>
          <w:sz w:val="22"/>
          <w:szCs w:val="24"/>
        </w:rPr>
        <w:t xml:space="preserve">In addition, the Housing Executive publishes annual Housing Investment Plans for each of the 11 new District Council areas. Housing Investment Plans describe Housing Executive strategies within the respective District Council areas and in particular provide details of Housing Executive performance over the past year and the programmes planned for the following year. Housing Investment Plans are published on the Housing Executive’s website at the following link: </w:t>
      </w:r>
    </w:p>
    <w:p w14:paraId="1C67702E" w14:textId="77777777" w:rsidR="00D67F55" w:rsidRPr="0006428D" w:rsidRDefault="00D67F55" w:rsidP="00D67F55">
      <w:pPr>
        <w:autoSpaceDE w:val="0"/>
        <w:autoSpaceDN w:val="0"/>
        <w:jc w:val="both"/>
        <w:rPr>
          <w:rFonts w:ascii="Arial" w:eastAsia="Calibri" w:hAnsi="Arial" w:cs="Arial"/>
          <w:color w:val="auto"/>
          <w:kern w:val="0"/>
          <w:sz w:val="22"/>
          <w:szCs w:val="24"/>
        </w:rPr>
      </w:pPr>
      <w:hyperlink r:id="rId11" w:history="1">
        <w:r>
          <w:rPr>
            <w:rFonts w:ascii="Arial" w:eastAsia="Calibri" w:hAnsi="Arial" w:cs="Arial"/>
            <w:color w:val="0000FF"/>
            <w:kern w:val="0"/>
            <w:sz w:val="22"/>
            <w:szCs w:val="24"/>
            <w:u w:val="single"/>
          </w:rPr>
          <w:t>The Housing Executive  - Housing Investment Plans</w:t>
        </w:r>
      </w:hyperlink>
      <w:r w:rsidRPr="0006428D">
        <w:rPr>
          <w:rFonts w:ascii="Arial" w:eastAsia="Calibri" w:hAnsi="Arial" w:cs="Arial"/>
          <w:color w:val="auto"/>
          <w:kern w:val="0"/>
          <w:sz w:val="22"/>
          <w:szCs w:val="24"/>
        </w:rPr>
        <w:t>.</w:t>
      </w:r>
    </w:p>
    <w:p w14:paraId="4747651C" w14:textId="77777777" w:rsidR="00D67F55" w:rsidRPr="0006428D" w:rsidRDefault="00D67F55" w:rsidP="00D67F55">
      <w:pPr>
        <w:jc w:val="both"/>
        <w:rPr>
          <w:rFonts w:ascii="Arial" w:hAnsi="Arial" w:cs="Arial"/>
          <w:color w:val="auto"/>
          <w:kern w:val="0"/>
          <w:sz w:val="22"/>
          <w:szCs w:val="24"/>
        </w:rPr>
      </w:pPr>
    </w:p>
    <w:p w14:paraId="18FEC4B2" w14:textId="77777777" w:rsidR="00D67F55" w:rsidRDefault="00D67F55" w:rsidP="00D67F55">
      <w:pPr>
        <w:jc w:val="both"/>
        <w:rPr>
          <w:rFonts w:ascii="Arial" w:hAnsi="Arial" w:cs="Arial"/>
          <w:color w:val="auto"/>
          <w:kern w:val="0"/>
          <w:sz w:val="22"/>
          <w:szCs w:val="24"/>
        </w:rPr>
      </w:pPr>
      <w:r w:rsidRPr="0006428D">
        <w:rPr>
          <w:rFonts w:ascii="Arial" w:hAnsi="Arial" w:cs="Arial"/>
          <w:bCs/>
          <w:i/>
          <w:color w:val="auto"/>
          <w:kern w:val="0"/>
          <w:sz w:val="22"/>
          <w:szCs w:val="24"/>
        </w:rPr>
        <w:t>Coherence &amp; Comparability</w:t>
      </w:r>
    </w:p>
    <w:p w14:paraId="00CC9079" w14:textId="77777777" w:rsidR="00D67F55" w:rsidRDefault="00D67F55" w:rsidP="00D67F55">
      <w:pPr>
        <w:jc w:val="both"/>
        <w:rPr>
          <w:rFonts w:ascii="Arial" w:hAnsi="Arial" w:cs="Arial"/>
          <w:color w:val="auto"/>
          <w:kern w:val="0"/>
          <w:sz w:val="22"/>
          <w:szCs w:val="24"/>
        </w:rPr>
      </w:pPr>
    </w:p>
    <w:p w14:paraId="42CF2116" w14:textId="77777777" w:rsidR="00D67F55" w:rsidRPr="0006428D" w:rsidRDefault="00D67F55" w:rsidP="00D67F55">
      <w:pPr>
        <w:jc w:val="both"/>
        <w:rPr>
          <w:rFonts w:ascii="Arial" w:hAnsi="Arial" w:cs="Arial"/>
          <w:b/>
          <w:color w:val="C00000"/>
          <w:kern w:val="0"/>
          <w:sz w:val="22"/>
          <w:szCs w:val="24"/>
        </w:rPr>
      </w:pPr>
      <w:r w:rsidRPr="0006428D">
        <w:rPr>
          <w:rFonts w:ascii="Arial" w:hAnsi="Arial" w:cs="Arial"/>
          <w:color w:val="auto"/>
          <w:kern w:val="0"/>
          <w:sz w:val="22"/>
          <w:szCs w:val="24"/>
        </w:rPr>
        <w:t xml:space="preserve">The time series of social housing starts and completions data in this bulletin are coherent and are directly comparable over time. </w:t>
      </w:r>
    </w:p>
    <w:p w14:paraId="1F352C80" w14:textId="77777777" w:rsidR="00D67F55" w:rsidRPr="0006428D" w:rsidRDefault="00D67F55" w:rsidP="00D67F55">
      <w:pPr>
        <w:jc w:val="both"/>
        <w:rPr>
          <w:rFonts w:ascii="Arial" w:hAnsi="Arial" w:cs="Arial"/>
          <w:b/>
          <w:color w:val="C00000"/>
          <w:kern w:val="0"/>
          <w:sz w:val="22"/>
          <w:szCs w:val="24"/>
        </w:rPr>
      </w:pPr>
    </w:p>
    <w:p w14:paraId="55F8F1D5" w14:textId="77777777" w:rsidR="00D67F55" w:rsidRPr="0006428D" w:rsidRDefault="00D67F55" w:rsidP="00D67F55">
      <w:pPr>
        <w:jc w:val="both"/>
        <w:rPr>
          <w:rFonts w:ascii="Arial" w:hAnsi="Arial" w:cs="Arial"/>
          <w:color w:val="auto"/>
          <w:kern w:val="0"/>
          <w:sz w:val="22"/>
          <w:szCs w:val="24"/>
        </w:rPr>
      </w:pPr>
      <w:r w:rsidRPr="0006428D">
        <w:rPr>
          <w:rFonts w:ascii="Arial" w:hAnsi="Arial" w:cs="Arial"/>
          <w:b/>
          <w:color w:val="auto"/>
          <w:kern w:val="0"/>
          <w:sz w:val="22"/>
          <w:szCs w:val="24"/>
        </w:rPr>
        <w:t>Links to other parts of UK</w:t>
      </w:r>
    </w:p>
    <w:p w14:paraId="4A624F38" w14:textId="77777777" w:rsidR="00D67F55" w:rsidRPr="0006428D" w:rsidRDefault="00D67F55" w:rsidP="00D67F55">
      <w:pPr>
        <w:jc w:val="both"/>
        <w:rPr>
          <w:rFonts w:ascii="Arial" w:hAnsi="Arial" w:cs="Arial"/>
          <w:color w:val="auto"/>
          <w:kern w:val="0"/>
          <w:sz w:val="22"/>
          <w:szCs w:val="24"/>
        </w:rPr>
      </w:pPr>
      <w:r w:rsidRPr="0006428D">
        <w:rPr>
          <w:rFonts w:ascii="Arial" w:hAnsi="Arial" w:cs="Arial"/>
          <w:color w:val="auto"/>
          <w:kern w:val="0"/>
          <w:sz w:val="22"/>
          <w:szCs w:val="24"/>
        </w:rPr>
        <w:t>Starts and completions data from other parts of the UK can be accessed using the following link:</w:t>
      </w:r>
    </w:p>
    <w:p w14:paraId="38860530" w14:textId="77777777" w:rsidR="00D67F55" w:rsidRDefault="00D67F55" w:rsidP="00D67F55">
      <w:pPr>
        <w:jc w:val="both"/>
        <w:rPr>
          <w:rFonts w:ascii="Arial" w:hAnsi="Arial" w:cs="Arial"/>
          <w:color w:val="0000FF"/>
          <w:kern w:val="0"/>
          <w:sz w:val="22"/>
          <w:szCs w:val="24"/>
          <w:u w:val="single"/>
        </w:rPr>
      </w:pPr>
      <w:hyperlink r:id="rId12" w:history="1">
        <w:r>
          <w:rPr>
            <w:rFonts w:ascii="Arial" w:hAnsi="Arial" w:cs="Arial"/>
            <w:color w:val="0000FF"/>
            <w:kern w:val="0"/>
            <w:sz w:val="22"/>
            <w:szCs w:val="24"/>
            <w:u w:val="single"/>
          </w:rPr>
          <w:t>UK housing statistics</w:t>
        </w:r>
      </w:hyperlink>
    </w:p>
    <w:p w14:paraId="0881E738" w14:textId="77777777" w:rsidR="00D67F55" w:rsidRDefault="00D67F55" w:rsidP="00D67F55">
      <w:pPr>
        <w:jc w:val="both"/>
        <w:rPr>
          <w:rFonts w:ascii="Arial" w:hAnsi="Arial" w:cs="Arial"/>
          <w:color w:val="0000FF"/>
          <w:kern w:val="0"/>
          <w:sz w:val="22"/>
          <w:szCs w:val="24"/>
          <w:u w:val="single"/>
        </w:rPr>
      </w:pPr>
    </w:p>
    <w:p w14:paraId="7A900E94" w14:textId="77777777" w:rsidR="00D67F55" w:rsidRDefault="00D67F55" w:rsidP="00D67F55">
      <w:pPr>
        <w:pStyle w:val="Heading2"/>
      </w:pPr>
      <w:r>
        <w:t>Estimated stock of dwellings by Tenure and Local Government District</w:t>
      </w:r>
    </w:p>
    <w:p w14:paraId="038C4FA9" w14:textId="77777777" w:rsidR="00D67F55" w:rsidRDefault="00D67F55" w:rsidP="00D67F55"/>
    <w:p w14:paraId="38D8BEAB" w14:textId="77777777" w:rsidR="00D67F55" w:rsidRDefault="00D67F55" w:rsidP="00D67F55">
      <w:pPr>
        <w:rPr>
          <w:rFonts w:ascii="Arial" w:hAnsi="Arial" w:cs="Arial"/>
          <w:i/>
          <w:iCs/>
          <w:color w:val="auto"/>
          <w:sz w:val="22"/>
          <w:szCs w:val="22"/>
        </w:rPr>
      </w:pPr>
      <w:r w:rsidRPr="00C67E13">
        <w:rPr>
          <w:rFonts w:ascii="Arial" w:hAnsi="Arial" w:cs="Arial"/>
          <w:i/>
          <w:iCs/>
          <w:color w:val="auto"/>
          <w:sz w:val="22"/>
          <w:szCs w:val="22"/>
        </w:rPr>
        <w:t>Data Sources</w:t>
      </w:r>
    </w:p>
    <w:p w14:paraId="6E176967" w14:textId="77777777" w:rsidR="00D67F55" w:rsidRPr="00C67E13" w:rsidRDefault="00D67F55" w:rsidP="00D67F55">
      <w:pPr>
        <w:rPr>
          <w:rFonts w:ascii="Arial" w:hAnsi="Arial" w:cs="Arial"/>
          <w:i/>
          <w:iCs/>
          <w:color w:val="auto"/>
          <w:sz w:val="22"/>
          <w:szCs w:val="22"/>
        </w:rPr>
      </w:pPr>
    </w:p>
    <w:p w14:paraId="133398F8" w14:textId="77777777" w:rsidR="00D67F55" w:rsidRDefault="00D67F55" w:rsidP="00D67F55">
      <w:pPr>
        <w:jc w:val="both"/>
        <w:rPr>
          <w:rFonts w:ascii="Arial" w:hAnsi="Arial" w:cs="Arial"/>
          <w:color w:val="auto"/>
          <w:kern w:val="0"/>
          <w:sz w:val="22"/>
          <w:szCs w:val="24"/>
        </w:rPr>
      </w:pPr>
      <w:r>
        <w:rPr>
          <w:rFonts w:ascii="Arial" w:hAnsi="Arial" w:cs="Arial"/>
          <w:color w:val="auto"/>
          <w:kern w:val="0"/>
          <w:sz w:val="22"/>
          <w:szCs w:val="24"/>
        </w:rPr>
        <w:t>These figures provide the estimated number of dwellings in Northern Ireland by tenure for 2021. Data appearing in the table are obtained from the sources detailed below.</w:t>
      </w:r>
    </w:p>
    <w:p w14:paraId="3D802202" w14:textId="77777777" w:rsidR="00D67F55" w:rsidRDefault="00D67F55" w:rsidP="00D67F55">
      <w:pPr>
        <w:jc w:val="both"/>
        <w:rPr>
          <w:rStyle w:val="Hyperlink"/>
          <w:rFonts w:ascii="Arial" w:hAnsi="Arial" w:cs="Arial"/>
          <w:kern w:val="0"/>
          <w:sz w:val="22"/>
          <w:szCs w:val="28"/>
        </w:rPr>
      </w:pPr>
      <w:hyperlink r:id="rId13" w:history="1">
        <w:r w:rsidRPr="00C67E13">
          <w:rPr>
            <w:rStyle w:val="Hyperlink"/>
            <w:rFonts w:ascii="Arial" w:hAnsi="Arial" w:cs="Arial"/>
            <w:kern w:val="0"/>
            <w:sz w:val="22"/>
            <w:szCs w:val="28"/>
          </w:rPr>
          <w:t>Total Housing Stock – Department for Finance, Land and Property Services</w:t>
        </w:r>
      </w:hyperlink>
    </w:p>
    <w:p w14:paraId="77A57E3D" w14:textId="77777777" w:rsidR="00D67F55" w:rsidRPr="00633FB5" w:rsidRDefault="00D67F55" w:rsidP="00D67F55">
      <w:pPr>
        <w:jc w:val="both"/>
        <w:rPr>
          <w:rStyle w:val="Hyperlink"/>
          <w:rFonts w:ascii="Arial" w:hAnsi="Arial" w:cs="Arial"/>
          <w:kern w:val="0"/>
          <w:sz w:val="22"/>
          <w:szCs w:val="28"/>
        </w:rPr>
      </w:pPr>
      <w:r>
        <w:rPr>
          <w:rStyle w:val="Hyperlink"/>
          <w:rFonts w:ascii="Arial" w:hAnsi="Arial" w:cs="Arial"/>
          <w:color w:val="auto"/>
          <w:kern w:val="0"/>
          <w:sz w:val="22"/>
          <w:szCs w:val="28"/>
          <w:u w:val="none"/>
        </w:rPr>
        <w:t>Northern Ireland Housing Executive (NIHE) Social Housing Stock</w:t>
      </w:r>
    </w:p>
    <w:p w14:paraId="22E8F05C" w14:textId="77777777" w:rsidR="00D67F55" w:rsidRDefault="00D67F55" w:rsidP="00D67F55">
      <w:pPr>
        <w:jc w:val="both"/>
        <w:rPr>
          <w:rStyle w:val="Hyperlink"/>
          <w:rFonts w:ascii="Arial" w:hAnsi="Arial" w:cs="Arial"/>
          <w:color w:val="auto"/>
          <w:kern w:val="0"/>
          <w:sz w:val="22"/>
          <w:szCs w:val="28"/>
          <w:u w:val="none"/>
        </w:rPr>
      </w:pPr>
    </w:p>
    <w:p w14:paraId="5D59B92F" w14:textId="77777777" w:rsidR="00D67F55" w:rsidRDefault="00D67F55" w:rsidP="00D67F55">
      <w:pPr>
        <w:jc w:val="both"/>
        <w:rPr>
          <w:rStyle w:val="Hyperlink"/>
          <w:rFonts w:ascii="Arial" w:hAnsi="Arial" w:cs="Arial"/>
          <w:color w:val="auto"/>
          <w:kern w:val="0"/>
          <w:sz w:val="22"/>
          <w:szCs w:val="28"/>
          <w:u w:val="none"/>
        </w:rPr>
      </w:pPr>
      <w:r>
        <w:rPr>
          <w:rStyle w:val="Hyperlink"/>
          <w:rFonts w:ascii="Arial" w:hAnsi="Arial" w:cs="Arial"/>
          <w:color w:val="auto"/>
          <w:kern w:val="0"/>
          <w:sz w:val="22"/>
          <w:szCs w:val="28"/>
          <w:u w:val="none"/>
        </w:rPr>
        <w:t>Northern Ireland Housing Associations Housing Stock provided by the Northern Ireland Federation of Housing Associations (NIFHA)</w:t>
      </w:r>
    </w:p>
    <w:p w14:paraId="56223004" w14:textId="77777777" w:rsidR="00D67F55" w:rsidRDefault="00D67F55" w:rsidP="00D67F55">
      <w:pPr>
        <w:jc w:val="both"/>
        <w:rPr>
          <w:rStyle w:val="Hyperlink"/>
          <w:rFonts w:ascii="Arial" w:hAnsi="Arial" w:cs="Arial"/>
          <w:color w:val="auto"/>
          <w:kern w:val="0"/>
          <w:sz w:val="22"/>
          <w:szCs w:val="28"/>
          <w:u w:val="none"/>
        </w:rPr>
      </w:pPr>
    </w:p>
    <w:p w14:paraId="7898F187" w14:textId="77777777" w:rsidR="00D67F55" w:rsidRDefault="00D67F55" w:rsidP="00D67F55">
      <w:pPr>
        <w:rPr>
          <w:rStyle w:val="Hyperlink"/>
          <w:rFonts w:ascii="Arial" w:hAnsi="Arial" w:cs="Arial"/>
          <w:kern w:val="0"/>
          <w:sz w:val="22"/>
          <w:szCs w:val="28"/>
        </w:rPr>
      </w:pPr>
      <w:hyperlink r:id="rId14" w:history="1">
        <w:r w:rsidRPr="00C67E13">
          <w:rPr>
            <w:rStyle w:val="Hyperlink"/>
            <w:rFonts w:ascii="Arial" w:hAnsi="Arial" w:cs="Arial"/>
            <w:kern w:val="0"/>
            <w:sz w:val="22"/>
            <w:szCs w:val="28"/>
          </w:rPr>
          <w:t>Northern Ireland Census 2021, NISRA</w:t>
        </w:r>
      </w:hyperlink>
    </w:p>
    <w:p w14:paraId="1E76AD59" w14:textId="77777777" w:rsidR="00D67F55" w:rsidRDefault="00D67F55" w:rsidP="00D67F55">
      <w:pPr>
        <w:rPr>
          <w:rStyle w:val="Hyperlink"/>
          <w:rFonts w:ascii="Arial" w:hAnsi="Arial" w:cs="Arial"/>
          <w:i/>
          <w:iCs/>
          <w:color w:val="auto"/>
          <w:kern w:val="0"/>
          <w:sz w:val="22"/>
          <w:szCs w:val="28"/>
          <w:u w:val="none"/>
        </w:rPr>
      </w:pPr>
    </w:p>
    <w:p w14:paraId="49E4F8FC" w14:textId="77777777" w:rsidR="00D67F55" w:rsidRDefault="00D67F55" w:rsidP="00D67F55">
      <w:pPr>
        <w:rPr>
          <w:rStyle w:val="Hyperlink"/>
          <w:rFonts w:ascii="Arial" w:hAnsi="Arial" w:cs="Arial"/>
          <w:i/>
          <w:iCs/>
          <w:color w:val="auto"/>
          <w:kern w:val="0"/>
          <w:sz w:val="22"/>
          <w:szCs w:val="28"/>
          <w:u w:val="none"/>
        </w:rPr>
      </w:pPr>
      <w:r>
        <w:rPr>
          <w:rStyle w:val="Hyperlink"/>
          <w:rFonts w:ascii="Arial" w:hAnsi="Arial" w:cs="Arial"/>
          <w:i/>
          <w:iCs/>
          <w:color w:val="auto"/>
          <w:kern w:val="0"/>
          <w:sz w:val="22"/>
          <w:szCs w:val="28"/>
          <w:u w:val="none"/>
        </w:rPr>
        <w:t>Methodology</w:t>
      </w:r>
    </w:p>
    <w:p w14:paraId="7030CA97" w14:textId="77777777" w:rsidR="00D67F55" w:rsidRDefault="00D67F55" w:rsidP="00D67F55">
      <w:pPr>
        <w:rPr>
          <w:rStyle w:val="Hyperlink"/>
          <w:rFonts w:ascii="Arial" w:hAnsi="Arial" w:cs="Arial"/>
          <w:i/>
          <w:iCs/>
          <w:color w:val="auto"/>
          <w:kern w:val="0"/>
          <w:sz w:val="22"/>
          <w:szCs w:val="28"/>
          <w:u w:val="none"/>
        </w:rPr>
      </w:pPr>
    </w:p>
    <w:p w14:paraId="1AD8E40A" w14:textId="77777777" w:rsidR="00D67F55" w:rsidRDefault="00D67F55" w:rsidP="00D67F55">
      <w:pPr>
        <w:rPr>
          <w:rStyle w:val="Hyperlink"/>
          <w:rFonts w:ascii="Arial" w:hAnsi="Arial" w:cs="Arial"/>
          <w:color w:val="auto"/>
          <w:kern w:val="0"/>
          <w:sz w:val="22"/>
          <w:szCs w:val="28"/>
          <w:u w:val="none"/>
        </w:rPr>
      </w:pPr>
      <w:r>
        <w:rPr>
          <w:rStyle w:val="Hyperlink"/>
          <w:rFonts w:ascii="Arial" w:hAnsi="Arial" w:cs="Arial"/>
          <w:color w:val="auto"/>
          <w:kern w:val="0"/>
          <w:sz w:val="22"/>
          <w:szCs w:val="28"/>
          <w:u w:val="none"/>
        </w:rPr>
        <w:t>Total Housing Stock – Land &amp; Property Services maintains Valuation Lists for all Domestic and Non-Domestic properties in Northern Ireland for the purposes of rating. Data is produced at Northern Ireland level and for each local Government District within Northern Ireland.</w:t>
      </w:r>
    </w:p>
    <w:p w14:paraId="0DB11DBE" w14:textId="77777777" w:rsidR="00D67F55" w:rsidRDefault="00D67F55" w:rsidP="00D67F55">
      <w:pPr>
        <w:rPr>
          <w:rStyle w:val="Hyperlink"/>
          <w:rFonts w:ascii="Arial" w:hAnsi="Arial" w:cs="Arial"/>
          <w:color w:val="auto"/>
          <w:kern w:val="0"/>
          <w:sz w:val="22"/>
          <w:szCs w:val="28"/>
          <w:u w:val="none"/>
        </w:rPr>
      </w:pPr>
    </w:p>
    <w:p w14:paraId="5ECEA7C9" w14:textId="77777777" w:rsidR="00D67F55" w:rsidRDefault="00D67F55" w:rsidP="00D67F55">
      <w:pPr>
        <w:rPr>
          <w:rFonts w:ascii="Arial" w:hAnsi="Arial" w:cs="Arial"/>
          <w:color w:val="auto"/>
          <w:kern w:val="0"/>
          <w:sz w:val="22"/>
          <w:szCs w:val="28"/>
        </w:rPr>
      </w:pPr>
      <w:r>
        <w:rPr>
          <w:rStyle w:val="Hyperlink"/>
          <w:rFonts w:ascii="Arial" w:hAnsi="Arial" w:cs="Arial"/>
          <w:color w:val="auto"/>
          <w:kern w:val="0"/>
          <w:sz w:val="22"/>
          <w:szCs w:val="28"/>
          <w:u w:val="none"/>
        </w:rPr>
        <w:t>In line with the Rates Order (NI) 1977, Housing Stock is defined as a count of properties which are valued as domestic or mixed for the purposes of rating. This refers to properties in the Valuation List which are used for the purposes of a private</w:t>
      </w:r>
      <w:r>
        <w:rPr>
          <w:rStyle w:val="Hyperlink"/>
          <w:rFonts w:ascii="Arial" w:hAnsi="Arial" w:cs="Arial"/>
          <w:color w:val="auto"/>
          <w:kern w:val="0"/>
          <w:sz w:val="22"/>
          <w:szCs w:val="28"/>
          <w:u w:val="none"/>
          <w:vertAlign w:val="superscript"/>
        </w:rPr>
        <w:t xml:space="preserve">1 </w:t>
      </w:r>
      <w:r>
        <w:rPr>
          <w:rFonts w:ascii="Arial" w:hAnsi="Arial" w:cs="Arial"/>
          <w:color w:val="auto"/>
          <w:kern w:val="0"/>
          <w:sz w:val="22"/>
          <w:szCs w:val="28"/>
        </w:rPr>
        <w:t>dwelling. This excludes Caravans, Domestic Garages, Domestic Stores and Car Parking Spaces.</w:t>
      </w:r>
    </w:p>
    <w:p w14:paraId="3907B8D7" w14:textId="77777777" w:rsidR="00D67F55" w:rsidRDefault="00D67F55" w:rsidP="00D67F55">
      <w:pPr>
        <w:rPr>
          <w:rFonts w:ascii="Arial" w:hAnsi="Arial" w:cs="Arial"/>
          <w:color w:val="auto"/>
          <w:kern w:val="0"/>
          <w:sz w:val="22"/>
          <w:szCs w:val="28"/>
        </w:rPr>
      </w:pPr>
    </w:p>
    <w:p w14:paraId="784ADC61" w14:textId="77777777" w:rsidR="00D67F55" w:rsidRDefault="00D67F55" w:rsidP="00D67F55">
      <w:pPr>
        <w:rPr>
          <w:rFonts w:ascii="Arial" w:hAnsi="Arial" w:cs="Arial"/>
          <w:color w:val="auto"/>
          <w:kern w:val="0"/>
          <w:sz w:val="22"/>
          <w:szCs w:val="28"/>
        </w:rPr>
      </w:pPr>
      <w:r>
        <w:rPr>
          <w:rFonts w:ascii="Arial" w:hAnsi="Arial" w:cs="Arial"/>
          <w:color w:val="auto"/>
          <w:kern w:val="0"/>
          <w:sz w:val="22"/>
          <w:szCs w:val="28"/>
          <w:vertAlign w:val="superscript"/>
        </w:rPr>
        <w:t>1</w:t>
      </w:r>
      <w:r>
        <w:rPr>
          <w:rFonts w:ascii="Arial" w:hAnsi="Arial" w:cs="Arial"/>
          <w:color w:val="auto"/>
          <w:kern w:val="0"/>
          <w:sz w:val="22"/>
          <w:szCs w:val="28"/>
        </w:rPr>
        <w:t>Private refers to a self-contained dwelling and not the ownership or build type of the dwelling. Housing Stock includes both social sector and private sector dwellings in the Valuation List.</w:t>
      </w:r>
    </w:p>
    <w:p w14:paraId="6AF571FE" w14:textId="77777777" w:rsidR="00D67F55" w:rsidRDefault="00D67F55" w:rsidP="00D67F55">
      <w:pPr>
        <w:rPr>
          <w:rFonts w:ascii="Arial" w:hAnsi="Arial" w:cs="Arial"/>
          <w:color w:val="auto"/>
          <w:kern w:val="0"/>
          <w:sz w:val="22"/>
          <w:szCs w:val="28"/>
        </w:rPr>
      </w:pPr>
    </w:p>
    <w:p w14:paraId="652307BF" w14:textId="77777777" w:rsidR="00D67F55" w:rsidRDefault="00D67F55" w:rsidP="00D67F55">
      <w:pPr>
        <w:rPr>
          <w:rFonts w:ascii="Arial" w:hAnsi="Arial" w:cs="Arial"/>
          <w:color w:val="auto"/>
          <w:kern w:val="0"/>
          <w:sz w:val="22"/>
          <w:szCs w:val="28"/>
        </w:rPr>
      </w:pPr>
      <w:r>
        <w:rPr>
          <w:rFonts w:ascii="Arial" w:hAnsi="Arial" w:cs="Arial"/>
          <w:color w:val="auto"/>
          <w:kern w:val="0"/>
          <w:sz w:val="22"/>
          <w:szCs w:val="28"/>
        </w:rPr>
        <w:t>The estimated number of occupied dwellings is calculated by subtracting the proportion of unoccupied households, taken from the Northern Ireland Census 2021, from the Total Housing Stock.</w:t>
      </w:r>
    </w:p>
    <w:p w14:paraId="0BED0893" w14:textId="77777777" w:rsidR="00D67F55" w:rsidRDefault="00D67F55" w:rsidP="00D67F55">
      <w:pPr>
        <w:rPr>
          <w:rFonts w:ascii="Arial" w:hAnsi="Arial" w:cs="Arial"/>
          <w:color w:val="auto"/>
          <w:kern w:val="0"/>
          <w:sz w:val="22"/>
          <w:szCs w:val="28"/>
        </w:rPr>
      </w:pPr>
    </w:p>
    <w:p w14:paraId="1F6EAF3E" w14:textId="77777777" w:rsidR="00D67F55" w:rsidRDefault="00D67F55" w:rsidP="00D67F55">
      <w:pPr>
        <w:rPr>
          <w:rFonts w:ascii="Arial" w:hAnsi="Arial" w:cs="Arial"/>
          <w:color w:val="auto"/>
          <w:kern w:val="0"/>
          <w:sz w:val="22"/>
          <w:szCs w:val="28"/>
        </w:rPr>
      </w:pPr>
      <w:r>
        <w:rPr>
          <w:rFonts w:ascii="Arial" w:hAnsi="Arial" w:cs="Arial"/>
          <w:color w:val="auto"/>
          <w:kern w:val="0"/>
          <w:sz w:val="22"/>
          <w:szCs w:val="28"/>
        </w:rPr>
        <w:t>The total Social Housing stock made up of Northern Ireland Housing Executive and Northern Ireland Housing Association stock is then subtracted from the total occupied housing stock to give an estimate of occupied privately owned stock.</w:t>
      </w:r>
    </w:p>
    <w:p w14:paraId="7445AE12" w14:textId="77777777" w:rsidR="00D67F55" w:rsidRDefault="00D67F55" w:rsidP="00D67F55">
      <w:pPr>
        <w:rPr>
          <w:rFonts w:ascii="Arial" w:hAnsi="Arial" w:cs="Arial"/>
          <w:color w:val="auto"/>
          <w:kern w:val="0"/>
          <w:sz w:val="22"/>
          <w:szCs w:val="28"/>
        </w:rPr>
      </w:pPr>
    </w:p>
    <w:p w14:paraId="3033CC7F" w14:textId="77777777" w:rsidR="00D67F55" w:rsidRDefault="00D67F55" w:rsidP="00D67F55">
      <w:pPr>
        <w:rPr>
          <w:rFonts w:ascii="Arial" w:hAnsi="Arial" w:cs="Arial"/>
          <w:color w:val="auto"/>
          <w:kern w:val="0"/>
          <w:sz w:val="22"/>
          <w:szCs w:val="28"/>
        </w:rPr>
      </w:pPr>
      <w:r>
        <w:rPr>
          <w:rFonts w:ascii="Arial" w:hAnsi="Arial" w:cs="Arial"/>
          <w:color w:val="auto"/>
          <w:kern w:val="0"/>
          <w:sz w:val="22"/>
          <w:szCs w:val="28"/>
        </w:rPr>
        <w:t>Northern Ireland Census 2021 tenure breakdown figures are used to estimate the proportion of privately owned, occupied dwellings that are owner occupied, privately rented or lived in rent free.</w:t>
      </w:r>
    </w:p>
    <w:p w14:paraId="4E38E39A" w14:textId="77777777" w:rsidR="00D67F55" w:rsidRDefault="00D67F55" w:rsidP="00D67F55">
      <w:pPr>
        <w:rPr>
          <w:rFonts w:ascii="Arial" w:hAnsi="Arial" w:cs="Arial"/>
          <w:color w:val="auto"/>
          <w:kern w:val="0"/>
          <w:sz w:val="22"/>
          <w:szCs w:val="28"/>
        </w:rPr>
      </w:pPr>
    </w:p>
    <w:p w14:paraId="77805F03" w14:textId="77777777" w:rsidR="00D67F55" w:rsidRPr="002D460A" w:rsidRDefault="00D67F55" w:rsidP="00D67F55">
      <w:pPr>
        <w:rPr>
          <w:rFonts w:ascii="Arial" w:hAnsi="Arial" w:cs="Arial"/>
          <w:color w:val="auto"/>
          <w:kern w:val="0"/>
          <w:sz w:val="22"/>
          <w:szCs w:val="28"/>
        </w:rPr>
      </w:pPr>
      <w:r>
        <w:rPr>
          <w:rFonts w:ascii="Arial" w:hAnsi="Arial" w:cs="Arial"/>
          <w:color w:val="auto"/>
          <w:kern w:val="0"/>
          <w:sz w:val="22"/>
          <w:szCs w:val="28"/>
        </w:rPr>
        <w:t>All calculations at each stage are produced at Northern Ireland and Local Government district level.</w:t>
      </w:r>
    </w:p>
    <w:p w14:paraId="12C9EEA7" w14:textId="77777777" w:rsidR="00D67F55" w:rsidRPr="00C649E9" w:rsidRDefault="00D67F55" w:rsidP="00D67F55">
      <w:pPr>
        <w:rPr>
          <w:rFonts w:ascii="Arial" w:eastAsia="Calibri" w:hAnsi="Arial" w:cs="Arial"/>
          <w:color w:val="auto"/>
          <w:sz w:val="22"/>
          <w:szCs w:val="22"/>
          <w:lang w:eastAsia="en-US"/>
        </w:rPr>
      </w:pPr>
    </w:p>
    <w:p w14:paraId="1DB78DD6" w14:textId="77777777" w:rsidR="00633FB5" w:rsidRDefault="00633FB5" w:rsidP="00EE367E">
      <w:pPr>
        <w:rPr>
          <w:rFonts w:ascii="Arial" w:eastAsia="Calibri" w:hAnsi="Arial" w:cs="Arial"/>
          <w:color w:val="auto"/>
          <w:sz w:val="22"/>
          <w:szCs w:val="22"/>
          <w:lang w:eastAsia="en-US"/>
        </w:rPr>
      </w:pPr>
    </w:p>
    <w:p w14:paraId="64628B14" w14:textId="77777777" w:rsidR="00D67F55" w:rsidRDefault="00D67F55" w:rsidP="00D67F55">
      <w:pPr>
        <w:pStyle w:val="Heading1"/>
      </w:pPr>
      <w:r w:rsidRPr="00543571">
        <w:t>SECTION 2. SOCIAL RENTING DEMAND</w:t>
      </w:r>
    </w:p>
    <w:p w14:paraId="337E7567" w14:textId="77777777" w:rsidR="00D67F55" w:rsidRPr="00663AFB" w:rsidRDefault="00D67F55" w:rsidP="00D67F55"/>
    <w:p w14:paraId="156AC2EB" w14:textId="77777777" w:rsidR="00D67F55" w:rsidRDefault="00D67F55" w:rsidP="00D67F55">
      <w:pPr>
        <w:pStyle w:val="Heading2"/>
      </w:pPr>
      <w:r>
        <w:t>Social Housing Waiting List</w:t>
      </w:r>
    </w:p>
    <w:p w14:paraId="3BC46453" w14:textId="77777777" w:rsidR="00D67F55" w:rsidRPr="00981C04" w:rsidRDefault="00D67F55" w:rsidP="00D67F55"/>
    <w:p w14:paraId="78498B68" w14:textId="77777777" w:rsidR="00D67F55" w:rsidRDefault="00D67F55" w:rsidP="00D67F55">
      <w:pPr>
        <w:rPr>
          <w:rFonts w:ascii="Arial" w:hAnsi="Arial" w:cs="Arial"/>
          <w:color w:val="auto"/>
          <w:sz w:val="22"/>
          <w:szCs w:val="22"/>
        </w:rPr>
      </w:pPr>
      <w:r w:rsidRPr="00D41F2E">
        <w:rPr>
          <w:rStyle w:val="Hyperlink"/>
          <w:rFonts w:ascii="Arial" w:hAnsi="Arial" w:cs="Arial"/>
          <w:color w:val="auto"/>
          <w:sz w:val="22"/>
          <w:szCs w:val="22"/>
          <w:u w:val="none"/>
        </w:rPr>
        <w:t xml:space="preserve">The Housing Executive holds data on all housing applications </w:t>
      </w:r>
      <w:r>
        <w:rPr>
          <w:rStyle w:val="Hyperlink"/>
          <w:rFonts w:ascii="Arial" w:hAnsi="Arial" w:cs="Arial"/>
          <w:color w:val="auto"/>
          <w:sz w:val="22"/>
          <w:szCs w:val="22"/>
          <w:u w:val="none"/>
        </w:rPr>
        <w:t xml:space="preserve">and allocations </w:t>
      </w:r>
      <w:r w:rsidRPr="00D41F2E">
        <w:rPr>
          <w:rStyle w:val="Hyperlink"/>
          <w:rFonts w:ascii="Arial" w:hAnsi="Arial" w:cs="Arial"/>
          <w:color w:val="auto"/>
          <w:sz w:val="22"/>
          <w:szCs w:val="22"/>
          <w:u w:val="none"/>
        </w:rPr>
        <w:t>made through the Common Selection Scheme in the Housing Management System (HMS). The waiting list application figures cover new applicants only i.e. those with no existing NIHE/Housing Association tenancy; current tenants seeking a transfer are not included.</w:t>
      </w:r>
      <w:r w:rsidRPr="00D41F2E">
        <w:rPr>
          <w:rFonts w:ascii="Arial" w:hAnsi="Arial" w:cs="Arial"/>
          <w:color w:val="auto"/>
          <w:sz w:val="22"/>
          <w:szCs w:val="22"/>
        </w:rPr>
        <w:t xml:space="preserve"> </w:t>
      </w:r>
      <w:r>
        <w:rPr>
          <w:rFonts w:ascii="Arial" w:hAnsi="Arial" w:cs="Arial"/>
          <w:color w:val="auto"/>
          <w:sz w:val="22"/>
          <w:szCs w:val="22"/>
        </w:rPr>
        <w:t xml:space="preserve">Applicants are assessed and awarded points according to their housing need.  The level of points awarded determine their position on the waiting list.  </w:t>
      </w:r>
      <w:r w:rsidRPr="00D41F2E">
        <w:rPr>
          <w:rFonts w:ascii="Arial" w:hAnsi="Arial" w:cs="Arial"/>
          <w:color w:val="auto"/>
          <w:sz w:val="22"/>
          <w:szCs w:val="22"/>
        </w:rPr>
        <w:t>Housing stress refers to those applicants who have 30 or more points under the social housing selection scheme.</w:t>
      </w:r>
    </w:p>
    <w:p w14:paraId="38760B05" w14:textId="77777777" w:rsidR="00D67F55" w:rsidRDefault="00D67F55" w:rsidP="00D67F55">
      <w:pPr>
        <w:rPr>
          <w:rFonts w:ascii="Arial" w:hAnsi="Arial" w:cs="Arial"/>
          <w:color w:val="auto"/>
          <w:sz w:val="22"/>
          <w:szCs w:val="22"/>
        </w:rPr>
      </w:pPr>
    </w:p>
    <w:p w14:paraId="23918A92" w14:textId="77777777" w:rsidR="00D67F55" w:rsidRDefault="00D67F55" w:rsidP="00D67F55">
      <w:pPr>
        <w:rPr>
          <w:rFonts w:ascii="Arial" w:hAnsi="Arial" w:cs="Arial"/>
          <w:b/>
          <w:color w:val="auto"/>
          <w:sz w:val="22"/>
        </w:rPr>
      </w:pPr>
      <w:r w:rsidRPr="0016560C">
        <w:rPr>
          <w:rFonts w:ascii="Arial" w:hAnsi="Arial" w:cs="Arial"/>
          <w:b/>
          <w:color w:val="auto"/>
          <w:sz w:val="22"/>
        </w:rPr>
        <w:lastRenderedPageBreak/>
        <w:t>Data Quality</w:t>
      </w:r>
    </w:p>
    <w:p w14:paraId="217DCF05" w14:textId="77777777" w:rsidR="00D67F55" w:rsidRPr="00360653" w:rsidRDefault="00D67F55" w:rsidP="00D67F55">
      <w:pPr>
        <w:jc w:val="both"/>
        <w:rPr>
          <w:rFonts w:ascii="Arial" w:hAnsi="Arial" w:cs="Arial"/>
          <w:color w:val="auto"/>
          <w:kern w:val="0"/>
          <w:sz w:val="22"/>
          <w:szCs w:val="22"/>
        </w:rPr>
      </w:pPr>
      <w:r w:rsidRPr="00360653">
        <w:rPr>
          <w:rFonts w:ascii="Arial" w:hAnsi="Arial" w:cs="Arial"/>
          <w:color w:val="auto"/>
          <w:kern w:val="0"/>
          <w:sz w:val="22"/>
          <w:szCs w:val="22"/>
        </w:rPr>
        <w:t xml:space="preserve">The following quality information relates to the </w:t>
      </w:r>
      <w:r>
        <w:rPr>
          <w:rFonts w:ascii="Arial" w:hAnsi="Arial" w:cs="Arial"/>
          <w:color w:val="auto"/>
          <w:kern w:val="0"/>
          <w:sz w:val="22"/>
          <w:szCs w:val="22"/>
        </w:rPr>
        <w:t xml:space="preserve">social </w:t>
      </w:r>
      <w:r w:rsidRPr="00360653">
        <w:rPr>
          <w:rFonts w:ascii="Arial" w:hAnsi="Arial" w:cs="Arial"/>
          <w:color w:val="auto"/>
          <w:kern w:val="0"/>
          <w:sz w:val="22"/>
          <w:szCs w:val="22"/>
        </w:rPr>
        <w:t>ho</w:t>
      </w:r>
      <w:r>
        <w:rPr>
          <w:rFonts w:ascii="Arial" w:hAnsi="Arial" w:cs="Arial"/>
          <w:color w:val="auto"/>
          <w:kern w:val="0"/>
          <w:sz w:val="22"/>
          <w:szCs w:val="22"/>
        </w:rPr>
        <w:t xml:space="preserve">using waiting list and allocations </w:t>
      </w:r>
      <w:r w:rsidRPr="00360653">
        <w:rPr>
          <w:rFonts w:ascii="Arial" w:hAnsi="Arial" w:cs="Arial"/>
          <w:color w:val="auto"/>
          <w:kern w:val="0"/>
          <w:sz w:val="22"/>
          <w:szCs w:val="22"/>
        </w:rPr>
        <w:t>tables 2.1, 2.2</w:t>
      </w:r>
      <w:r>
        <w:rPr>
          <w:rFonts w:ascii="Arial" w:hAnsi="Arial" w:cs="Arial"/>
          <w:color w:val="auto"/>
          <w:kern w:val="0"/>
          <w:sz w:val="22"/>
          <w:szCs w:val="22"/>
        </w:rPr>
        <w:t xml:space="preserve"> and 2.3</w:t>
      </w:r>
      <w:r w:rsidRPr="00360653">
        <w:rPr>
          <w:rFonts w:ascii="Arial" w:hAnsi="Arial" w:cs="Arial"/>
          <w:color w:val="auto"/>
          <w:kern w:val="0"/>
          <w:sz w:val="22"/>
          <w:szCs w:val="22"/>
        </w:rPr>
        <w:t>. Information relating to specific tables is noted as such.</w:t>
      </w:r>
    </w:p>
    <w:p w14:paraId="727BAD55" w14:textId="77777777" w:rsidR="00D67F55" w:rsidRPr="0016560C" w:rsidRDefault="00D67F55" w:rsidP="00D67F55">
      <w:pPr>
        <w:rPr>
          <w:rFonts w:ascii="Arial" w:hAnsi="Arial" w:cs="Arial"/>
          <w:b/>
          <w:color w:val="auto"/>
          <w:sz w:val="22"/>
        </w:rPr>
      </w:pPr>
    </w:p>
    <w:p w14:paraId="0DB590C4" w14:textId="77777777" w:rsidR="00D67F55" w:rsidRDefault="00D67F55" w:rsidP="00D67F55">
      <w:pPr>
        <w:rPr>
          <w:rFonts w:ascii="Arial" w:hAnsi="Arial" w:cs="Arial"/>
          <w:i/>
          <w:color w:val="auto"/>
          <w:sz w:val="22"/>
        </w:rPr>
      </w:pPr>
      <w:r w:rsidRPr="0016560C">
        <w:rPr>
          <w:rFonts w:ascii="Arial" w:hAnsi="Arial" w:cs="Arial"/>
          <w:i/>
          <w:color w:val="auto"/>
          <w:sz w:val="22"/>
        </w:rPr>
        <w:t>Relevance</w:t>
      </w:r>
    </w:p>
    <w:p w14:paraId="097F5E7D" w14:textId="77777777" w:rsidR="00D67F55" w:rsidRDefault="00D67F55" w:rsidP="00D67F55">
      <w:pPr>
        <w:rPr>
          <w:rFonts w:ascii="Arial" w:hAnsi="Arial" w:cs="Arial"/>
          <w:i/>
          <w:color w:val="auto"/>
          <w:sz w:val="22"/>
        </w:rPr>
      </w:pPr>
    </w:p>
    <w:p w14:paraId="7658861F" w14:textId="77777777" w:rsidR="00D67F55" w:rsidRDefault="00D67F55" w:rsidP="00D67F55">
      <w:pPr>
        <w:rPr>
          <w:rFonts w:ascii="Arial" w:hAnsi="Arial" w:cs="Arial"/>
          <w:color w:val="auto"/>
          <w:sz w:val="22"/>
          <w:szCs w:val="22"/>
        </w:rPr>
      </w:pPr>
      <w:r w:rsidRPr="0016560C">
        <w:rPr>
          <w:rFonts w:ascii="Arial" w:hAnsi="Arial" w:cs="Arial"/>
          <w:color w:val="auto"/>
          <w:sz w:val="22"/>
          <w:szCs w:val="22"/>
        </w:rPr>
        <w:t xml:space="preserve">The Housing Executive holds data on all housing applications and allocations made through the Common Selection Scheme in the Housing Management System (HMS). </w:t>
      </w:r>
      <w:r>
        <w:rPr>
          <w:rFonts w:ascii="Arial" w:hAnsi="Arial" w:cs="Arial"/>
          <w:color w:val="auto"/>
          <w:sz w:val="22"/>
          <w:szCs w:val="22"/>
        </w:rPr>
        <w:t xml:space="preserve">These tables </w:t>
      </w:r>
      <w:r w:rsidRPr="0016560C">
        <w:rPr>
          <w:rFonts w:ascii="Arial" w:hAnsi="Arial" w:cs="Arial"/>
          <w:color w:val="auto"/>
          <w:sz w:val="22"/>
          <w:szCs w:val="22"/>
        </w:rPr>
        <w:t xml:space="preserve">report on all applications recorded on the Common Waiting List at </w:t>
      </w:r>
      <w:r>
        <w:rPr>
          <w:rFonts w:ascii="Arial" w:hAnsi="Arial" w:cs="Arial"/>
          <w:color w:val="auto"/>
          <w:sz w:val="22"/>
          <w:szCs w:val="22"/>
        </w:rPr>
        <w:t>the end of each quarter</w:t>
      </w:r>
      <w:r w:rsidRPr="0016560C">
        <w:rPr>
          <w:rFonts w:ascii="Arial" w:hAnsi="Arial" w:cs="Arial"/>
          <w:color w:val="auto"/>
          <w:sz w:val="22"/>
          <w:szCs w:val="22"/>
        </w:rPr>
        <w:t xml:space="preserve">, and all allocations (offers accepted) made through the Common Selection Scheme in Northern Ireland </w:t>
      </w:r>
      <w:r>
        <w:rPr>
          <w:rFonts w:ascii="Arial" w:hAnsi="Arial" w:cs="Arial"/>
          <w:color w:val="auto"/>
          <w:sz w:val="22"/>
          <w:szCs w:val="22"/>
        </w:rPr>
        <w:t>for the previous 12 month rolling period of each quarter.</w:t>
      </w:r>
      <w:r w:rsidRPr="0016560C">
        <w:rPr>
          <w:rFonts w:ascii="Arial" w:hAnsi="Arial" w:cs="Arial"/>
          <w:color w:val="auto"/>
          <w:sz w:val="22"/>
          <w:szCs w:val="22"/>
        </w:rPr>
        <w:t xml:space="preserve"> </w:t>
      </w:r>
      <w:r>
        <w:rPr>
          <w:rFonts w:ascii="Arial" w:hAnsi="Arial" w:cs="Arial"/>
          <w:color w:val="auto"/>
          <w:sz w:val="22"/>
          <w:szCs w:val="22"/>
        </w:rPr>
        <w:t xml:space="preserve">For example, Quarter 4 ending on 31 March 2024 will include all allocations (offers accepted) between 1 April 2023 and 31 March 2024.  </w:t>
      </w:r>
    </w:p>
    <w:p w14:paraId="3D1E539D" w14:textId="77777777" w:rsidR="00D67F55" w:rsidRDefault="00D67F55" w:rsidP="00D67F55">
      <w:pPr>
        <w:rPr>
          <w:rFonts w:ascii="Arial" w:hAnsi="Arial" w:cs="Arial"/>
          <w:color w:val="auto"/>
          <w:sz w:val="22"/>
          <w:szCs w:val="22"/>
        </w:rPr>
      </w:pPr>
    </w:p>
    <w:p w14:paraId="4F7A8DB8" w14:textId="77777777" w:rsidR="00D67F55" w:rsidRDefault="00D67F55" w:rsidP="00D67F55">
      <w:pPr>
        <w:rPr>
          <w:rFonts w:ascii="Arial" w:hAnsi="Arial" w:cs="Arial"/>
          <w:i/>
          <w:color w:val="auto"/>
          <w:sz w:val="22"/>
        </w:rPr>
      </w:pPr>
      <w:r w:rsidRPr="0016560C">
        <w:rPr>
          <w:rFonts w:ascii="Arial" w:hAnsi="Arial" w:cs="Arial"/>
          <w:color w:val="auto"/>
          <w:sz w:val="22"/>
          <w:szCs w:val="22"/>
        </w:rPr>
        <w:t>The waiting list application figures cover new applicants only i.e. those with no existing NIHE/Housing Association tenancy; current tenants seeking a transfer are not included. The allocations figures contain and are broken down into new applicants and transfers from NIHE/ Housing Associations.  Users of the table are those with an interest in the housing sector; including government officials, the voluntary sector, charities, the private sector and others.</w:t>
      </w:r>
    </w:p>
    <w:p w14:paraId="2B9BA3F6" w14:textId="77777777" w:rsidR="00D67F55" w:rsidRDefault="00D67F55" w:rsidP="00D67F55">
      <w:pPr>
        <w:rPr>
          <w:rFonts w:ascii="Arial" w:hAnsi="Arial" w:cs="Arial"/>
          <w:i/>
          <w:color w:val="auto"/>
          <w:sz w:val="22"/>
        </w:rPr>
      </w:pPr>
    </w:p>
    <w:p w14:paraId="0CEDDF39" w14:textId="77777777" w:rsidR="00D67F55" w:rsidRDefault="00D67F55" w:rsidP="00D67F55">
      <w:pPr>
        <w:rPr>
          <w:rFonts w:ascii="Arial" w:hAnsi="Arial" w:cs="Arial"/>
          <w:i/>
          <w:iCs/>
          <w:color w:val="auto"/>
          <w:sz w:val="22"/>
          <w:szCs w:val="22"/>
        </w:rPr>
      </w:pPr>
      <w:r w:rsidRPr="0016560C">
        <w:rPr>
          <w:rFonts w:ascii="Arial" w:hAnsi="Arial" w:cs="Arial"/>
          <w:i/>
          <w:iCs/>
          <w:color w:val="auto"/>
          <w:sz w:val="22"/>
          <w:szCs w:val="22"/>
        </w:rPr>
        <w:t>Accessibility and Clarity</w:t>
      </w:r>
    </w:p>
    <w:p w14:paraId="1C9952CB" w14:textId="77777777" w:rsidR="00D67F55" w:rsidRPr="00945BF9" w:rsidRDefault="00D67F55" w:rsidP="00D67F55">
      <w:pPr>
        <w:rPr>
          <w:rFonts w:ascii="Arial" w:hAnsi="Arial" w:cs="Arial"/>
          <w:i/>
          <w:color w:val="auto"/>
          <w:sz w:val="22"/>
        </w:rPr>
      </w:pPr>
    </w:p>
    <w:p w14:paraId="4109FB5B" w14:textId="77777777" w:rsidR="00D67F55" w:rsidRDefault="00D67F55" w:rsidP="00D67F55">
      <w:pPr>
        <w:jc w:val="both"/>
        <w:rPr>
          <w:rFonts w:ascii="Arial" w:hAnsi="Arial" w:cs="Arial"/>
          <w:color w:val="auto"/>
          <w:kern w:val="0"/>
          <w:sz w:val="22"/>
          <w:szCs w:val="22"/>
        </w:rPr>
      </w:pPr>
      <w:r w:rsidRPr="00360653">
        <w:rPr>
          <w:rFonts w:ascii="Arial" w:hAnsi="Arial" w:cs="Arial"/>
          <w:color w:val="auto"/>
          <w:kern w:val="0"/>
          <w:sz w:val="22"/>
          <w:szCs w:val="22"/>
        </w:rPr>
        <w:t xml:space="preserve">Tables are published each quarter in the </w:t>
      </w:r>
      <w:r w:rsidRPr="00360653">
        <w:rPr>
          <w:rFonts w:ascii="Arial" w:hAnsi="Arial" w:cs="Arial"/>
          <w:i/>
          <w:color w:val="auto"/>
          <w:kern w:val="0"/>
          <w:sz w:val="22"/>
          <w:szCs w:val="22"/>
        </w:rPr>
        <w:t>Northern Ireland Housing Bulletin</w:t>
      </w:r>
      <w:r w:rsidRPr="00360653">
        <w:rPr>
          <w:rFonts w:ascii="Arial" w:hAnsi="Arial" w:cs="Arial"/>
          <w:color w:val="auto"/>
          <w:kern w:val="0"/>
          <w:sz w:val="22"/>
          <w:szCs w:val="22"/>
        </w:rPr>
        <w:t xml:space="preserve">, where it is available in </w:t>
      </w:r>
      <w:r w:rsidRPr="005B164E">
        <w:rPr>
          <w:rFonts w:ascii="Arial" w:hAnsi="Arial" w:cs="Arial"/>
          <w:color w:val="auto"/>
          <w:kern w:val="0"/>
          <w:sz w:val="22"/>
          <w:szCs w:val="22"/>
        </w:rPr>
        <w:t>Excel</w:t>
      </w:r>
      <w:r>
        <w:rPr>
          <w:rFonts w:ascii="Arial" w:hAnsi="Arial" w:cs="Arial"/>
          <w:color w:val="auto"/>
          <w:kern w:val="0"/>
          <w:sz w:val="22"/>
          <w:szCs w:val="22"/>
        </w:rPr>
        <w:t xml:space="preserve"> </w:t>
      </w:r>
      <w:r w:rsidRPr="005B164E">
        <w:rPr>
          <w:rFonts w:ascii="Arial" w:hAnsi="Arial" w:cs="Arial"/>
          <w:color w:val="auto"/>
          <w:kern w:val="0"/>
          <w:sz w:val="22"/>
          <w:szCs w:val="22"/>
        </w:rPr>
        <w:t>format</w:t>
      </w:r>
      <w:r w:rsidRPr="00360653">
        <w:rPr>
          <w:rFonts w:ascii="Arial" w:hAnsi="Arial" w:cs="Arial"/>
          <w:color w:val="auto"/>
          <w:kern w:val="0"/>
          <w:sz w:val="22"/>
          <w:szCs w:val="22"/>
        </w:rPr>
        <w:t>.  Requests for the information in different formats can be made by contacting the Department for Communities.  Supporting and/or additional information may be available on request from the Housing Executive.</w:t>
      </w:r>
    </w:p>
    <w:p w14:paraId="36FCA215" w14:textId="77777777" w:rsidR="00D67F55" w:rsidRDefault="00D67F55" w:rsidP="00D67F55">
      <w:pPr>
        <w:jc w:val="both"/>
        <w:rPr>
          <w:rFonts w:ascii="Arial" w:hAnsi="Arial" w:cs="Arial"/>
          <w:color w:val="auto"/>
          <w:kern w:val="0"/>
          <w:sz w:val="22"/>
          <w:szCs w:val="22"/>
        </w:rPr>
      </w:pPr>
    </w:p>
    <w:p w14:paraId="14E2D92C" w14:textId="77777777" w:rsidR="00D67F55" w:rsidRDefault="00D67F55" w:rsidP="00D67F55">
      <w:pPr>
        <w:jc w:val="both"/>
        <w:rPr>
          <w:rFonts w:ascii="Arial" w:hAnsi="Arial" w:cs="Arial"/>
          <w:i/>
          <w:iCs/>
          <w:color w:val="auto"/>
          <w:sz w:val="22"/>
          <w:szCs w:val="22"/>
        </w:rPr>
      </w:pPr>
      <w:r w:rsidRPr="0016560C">
        <w:rPr>
          <w:rFonts w:ascii="Arial" w:hAnsi="Arial" w:cs="Arial"/>
          <w:i/>
          <w:iCs/>
          <w:color w:val="auto"/>
          <w:sz w:val="22"/>
          <w:szCs w:val="22"/>
        </w:rPr>
        <w:t>Accuracy</w:t>
      </w:r>
    </w:p>
    <w:p w14:paraId="5DB222C8" w14:textId="77777777" w:rsidR="00D67F55" w:rsidRDefault="00D67F55" w:rsidP="00D67F55">
      <w:pPr>
        <w:jc w:val="both"/>
        <w:rPr>
          <w:rFonts w:ascii="Arial" w:hAnsi="Arial" w:cs="Arial"/>
          <w:i/>
          <w:iCs/>
          <w:color w:val="auto"/>
          <w:sz w:val="22"/>
          <w:szCs w:val="22"/>
        </w:rPr>
      </w:pPr>
    </w:p>
    <w:p w14:paraId="15ED3C88" w14:textId="77777777" w:rsidR="00D67F55" w:rsidRDefault="00D67F55" w:rsidP="00D67F55">
      <w:pPr>
        <w:jc w:val="both"/>
        <w:rPr>
          <w:rFonts w:ascii="Arial" w:hAnsi="Arial" w:cs="Arial"/>
          <w:color w:val="auto"/>
          <w:sz w:val="22"/>
          <w:szCs w:val="22"/>
        </w:rPr>
      </w:pPr>
      <w:r>
        <w:rPr>
          <w:rFonts w:ascii="Arial" w:hAnsi="Arial" w:cs="Arial"/>
          <w:color w:val="auto"/>
          <w:sz w:val="22"/>
          <w:szCs w:val="22"/>
        </w:rPr>
        <w:t>Housing Management System data is held on servers behind a firewall and access is via profiles and restricted to specific roles within the HMS system.  Allocations data is extracted on a daily basis and waiting list data is extracted on the first of each month.  Data is extracted using the Microsoft SQL Server Reporting Services (SSRS) package.  From this, models are created to allow data to be put onto a dashboard.</w:t>
      </w:r>
    </w:p>
    <w:p w14:paraId="4937FA22" w14:textId="77777777" w:rsidR="00D67F55" w:rsidRDefault="00D67F55" w:rsidP="00D67F55">
      <w:pPr>
        <w:jc w:val="both"/>
        <w:rPr>
          <w:rFonts w:ascii="Arial" w:hAnsi="Arial" w:cs="Arial"/>
          <w:color w:val="auto"/>
          <w:sz w:val="22"/>
          <w:szCs w:val="22"/>
        </w:rPr>
      </w:pPr>
    </w:p>
    <w:p w14:paraId="0383C432" w14:textId="77777777" w:rsidR="00D67F55" w:rsidRDefault="00D67F55" w:rsidP="00D67F55">
      <w:pPr>
        <w:jc w:val="both"/>
        <w:rPr>
          <w:rFonts w:ascii="Arial" w:hAnsi="Arial" w:cs="Arial"/>
          <w:color w:val="auto"/>
          <w:sz w:val="22"/>
          <w:szCs w:val="22"/>
        </w:rPr>
      </w:pPr>
      <w:r w:rsidRPr="0016560C">
        <w:rPr>
          <w:rFonts w:ascii="Arial" w:hAnsi="Arial" w:cs="Arial"/>
          <w:color w:val="auto"/>
          <w:sz w:val="22"/>
          <w:szCs w:val="22"/>
        </w:rPr>
        <w:t>The Housing Executive checks all data carefully, ensuring a high level of quality assurance.  However, users should be aware that figures are extracted from a live database on a specific date.</w:t>
      </w:r>
    </w:p>
    <w:p w14:paraId="710A5D78" w14:textId="77777777" w:rsidR="00D67F55" w:rsidRDefault="00D67F55" w:rsidP="00D67F55">
      <w:pPr>
        <w:jc w:val="both"/>
        <w:rPr>
          <w:rFonts w:ascii="Arial" w:hAnsi="Arial" w:cs="Arial"/>
          <w:color w:val="auto"/>
          <w:sz w:val="22"/>
          <w:szCs w:val="22"/>
        </w:rPr>
      </w:pPr>
    </w:p>
    <w:p w14:paraId="35B0C459" w14:textId="77777777" w:rsidR="00D67F55" w:rsidRDefault="00D67F55" w:rsidP="00D67F55">
      <w:pPr>
        <w:jc w:val="both"/>
        <w:rPr>
          <w:rFonts w:ascii="Arial" w:hAnsi="Arial" w:cs="Arial"/>
          <w:color w:val="auto"/>
          <w:sz w:val="22"/>
          <w:szCs w:val="22"/>
        </w:rPr>
      </w:pPr>
    </w:p>
    <w:p w14:paraId="596958A2" w14:textId="77777777" w:rsidR="00D67F55" w:rsidRPr="003C15C5" w:rsidRDefault="00D67F55" w:rsidP="00D67F55">
      <w:pPr>
        <w:jc w:val="both"/>
        <w:rPr>
          <w:rFonts w:ascii="Arial" w:hAnsi="Arial" w:cs="Arial"/>
          <w:color w:val="auto"/>
          <w:sz w:val="22"/>
          <w:szCs w:val="22"/>
        </w:rPr>
      </w:pPr>
      <w:r w:rsidRPr="0016560C">
        <w:rPr>
          <w:rFonts w:ascii="Arial" w:hAnsi="Arial" w:cs="Arial"/>
          <w:i/>
          <w:iCs/>
          <w:color w:val="auto"/>
          <w:sz w:val="22"/>
          <w:szCs w:val="22"/>
        </w:rPr>
        <w:t>Timeliness</w:t>
      </w:r>
    </w:p>
    <w:p w14:paraId="397A1193" w14:textId="77777777" w:rsidR="00D67F55" w:rsidRDefault="00D67F55" w:rsidP="00D67F55">
      <w:pPr>
        <w:jc w:val="both"/>
        <w:rPr>
          <w:rFonts w:ascii="Arial" w:hAnsi="Arial" w:cs="Arial"/>
          <w:i/>
          <w:iCs/>
          <w:color w:val="auto"/>
          <w:sz w:val="22"/>
          <w:szCs w:val="22"/>
        </w:rPr>
      </w:pPr>
    </w:p>
    <w:p w14:paraId="1B00FC43" w14:textId="77777777" w:rsidR="00D67F55" w:rsidRDefault="00D67F55" w:rsidP="00D67F55">
      <w:pPr>
        <w:jc w:val="both"/>
        <w:rPr>
          <w:rFonts w:ascii="Arial" w:hAnsi="Arial" w:cs="Arial"/>
          <w:color w:val="auto"/>
          <w:kern w:val="0"/>
          <w:sz w:val="22"/>
          <w:szCs w:val="22"/>
        </w:rPr>
      </w:pPr>
      <w:r w:rsidRPr="00945BF9">
        <w:rPr>
          <w:rFonts w:ascii="Arial" w:hAnsi="Arial" w:cs="Arial"/>
          <w:color w:val="auto"/>
          <w:sz w:val="22"/>
          <w:szCs w:val="22"/>
        </w:rPr>
        <w:t xml:space="preserve">Statistics drawn from the Common Waiting List are published on a quarterly basis in the </w:t>
      </w:r>
      <w:r w:rsidRPr="00945BF9">
        <w:rPr>
          <w:rFonts w:ascii="Arial" w:hAnsi="Arial" w:cs="Arial"/>
          <w:i/>
          <w:color w:val="auto"/>
          <w:kern w:val="0"/>
          <w:sz w:val="22"/>
          <w:szCs w:val="22"/>
        </w:rPr>
        <w:t>Northern Ireland Housing Bulletin</w:t>
      </w:r>
      <w:r w:rsidRPr="00945BF9">
        <w:rPr>
          <w:rFonts w:ascii="Arial" w:hAnsi="Arial" w:cs="Arial"/>
          <w:color w:val="auto"/>
          <w:sz w:val="22"/>
          <w:szCs w:val="22"/>
        </w:rPr>
        <w:t xml:space="preserve">.  </w:t>
      </w:r>
      <w:r w:rsidRPr="00945BF9">
        <w:rPr>
          <w:rFonts w:ascii="Arial" w:hAnsi="Arial" w:cs="Arial"/>
          <w:color w:val="auto"/>
          <w:kern w:val="0"/>
          <w:sz w:val="22"/>
          <w:szCs w:val="22"/>
        </w:rPr>
        <w:t xml:space="preserve">A wider range of </w:t>
      </w:r>
      <w:r w:rsidRPr="00945BF9">
        <w:rPr>
          <w:rFonts w:ascii="Arial" w:hAnsi="Arial" w:cs="Arial"/>
          <w:color w:val="auto"/>
          <w:sz w:val="22"/>
          <w:szCs w:val="22"/>
        </w:rPr>
        <w:t xml:space="preserve">historical Social Housing Waiting list and Allocations </w:t>
      </w:r>
      <w:r w:rsidRPr="00945BF9">
        <w:rPr>
          <w:rFonts w:ascii="Arial" w:hAnsi="Arial" w:cs="Arial"/>
          <w:color w:val="auto"/>
          <w:kern w:val="0"/>
          <w:sz w:val="22"/>
          <w:szCs w:val="22"/>
        </w:rPr>
        <w:t xml:space="preserve">statistics </w:t>
      </w:r>
      <w:r>
        <w:rPr>
          <w:rFonts w:ascii="Arial" w:hAnsi="Arial" w:cs="Arial"/>
          <w:color w:val="auto"/>
          <w:sz w:val="22"/>
          <w:szCs w:val="22"/>
        </w:rPr>
        <w:t xml:space="preserve">can </w:t>
      </w:r>
      <w:r w:rsidRPr="00945BF9">
        <w:rPr>
          <w:rFonts w:ascii="Arial" w:hAnsi="Arial" w:cs="Arial"/>
          <w:color w:val="auto"/>
          <w:sz w:val="22"/>
          <w:szCs w:val="22"/>
        </w:rPr>
        <w:t xml:space="preserve">be found in the annual </w:t>
      </w:r>
      <w:r w:rsidRPr="00945BF9">
        <w:rPr>
          <w:rFonts w:ascii="Arial" w:hAnsi="Arial" w:cs="Arial"/>
          <w:color w:val="auto"/>
          <w:kern w:val="0"/>
          <w:sz w:val="22"/>
          <w:szCs w:val="22"/>
        </w:rPr>
        <w:t>Northern Ireland Housing Statistics publication.</w:t>
      </w:r>
    </w:p>
    <w:p w14:paraId="0FDA513D" w14:textId="77777777" w:rsidR="00D67F55" w:rsidRDefault="00D67F55" w:rsidP="00D67F55">
      <w:pPr>
        <w:jc w:val="both"/>
        <w:rPr>
          <w:rFonts w:ascii="Arial" w:hAnsi="Arial" w:cs="Arial"/>
          <w:color w:val="auto"/>
          <w:kern w:val="0"/>
          <w:sz w:val="22"/>
          <w:szCs w:val="22"/>
        </w:rPr>
      </w:pPr>
    </w:p>
    <w:p w14:paraId="456B3BCB" w14:textId="77777777" w:rsidR="00D67F55" w:rsidRDefault="00D67F55" w:rsidP="00D67F55">
      <w:pPr>
        <w:jc w:val="both"/>
        <w:rPr>
          <w:rFonts w:ascii="Arial" w:hAnsi="Arial" w:cs="Arial"/>
          <w:i/>
          <w:iCs/>
          <w:color w:val="auto"/>
          <w:sz w:val="22"/>
          <w:szCs w:val="22"/>
        </w:rPr>
      </w:pPr>
      <w:r w:rsidRPr="0016560C">
        <w:rPr>
          <w:rFonts w:ascii="Arial" w:hAnsi="Arial" w:cs="Arial"/>
          <w:i/>
          <w:iCs/>
          <w:color w:val="auto"/>
          <w:sz w:val="22"/>
          <w:szCs w:val="22"/>
        </w:rPr>
        <w:t>Coherence and Comparability</w:t>
      </w:r>
    </w:p>
    <w:p w14:paraId="3DE1C226" w14:textId="77777777" w:rsidR="00D67F55" w:rsidRDefault="00D67F55" w:rsidP="00D67F55">
      <w:pPr>
        <w:jc w:val="both"/>
        <w:rPr>
          <w:rFonts w:ascii="Arial" w:hAnsi="Arial" w:cs="Arial"/>
          <w:i/>
          <w:iCs/>
          <w:color w:val="auto"/>
          <w:sz w:val="22"/>
          <w:szCs w:val="22"/>
        </w:rPr>
      </w:pPr>
    </w:p>
    <w:p w14:paraId="18E1F8C2" w14:textId="77777777" w:rsidR="00D67F55" w:rsidRPr="00945BF9" w:rsidRDefault="00D67F55" w:rsidP="00D67F55">
      <w:pPr>
        <w:jc w:val="both"/>
        <w:rPr>
          <w:rFonts w:ascii="Arial" w:hAnsi="Arial" w:cs="Arial"/>
          <w:i/>
          <w:iCs/>
          <w:color w:val="auto"/>
          <w:sz w:val="22"/>
          <w:szCs w:val="22"/>
        </w:rPr>
      </w:pPr>
      <w:r w:rsidRPr="0016560C">
        <w:rPr>
          <w:rFonts w:ascii="Arial" w:hAnsi="Arial" w:cs="Arial"/>
          <w:color w:val="auto"/>
          <w:sz w:val="22"/>
          <w:szCs w:val="22"/>
        </w:rPr>
        <w:t xml:space="preserve">Figures </w:t>
      </w:r>
      <w:r>
        <w:rPr>
          <w:rFonts w:ascii="Arial" w:hAnsi="Arial" w:cs="Arial"/>
          <w:color w:val="auto"/>
          <w:sz w:val="22"/>
          <w:szCs w:val="22"/>
        </w:rPr>
        <w:t>for the waiting list and allocations are</w:t>
      </w:r>
      <w:r w:rsidRPr="0016560C">
        <w:rPr>
          <w:rFonts w:ascii="Arial" w:hAnsi="Arial" w:cs="Arial"/>
          <w:color w:val="auto"/>
          <w:sz w:val="22"/>
          <w:szCs w:val="22"/>
        </w:rPr>
        <w:t xml:space="preserve"> drawn from the </w:t>
      </w:r>
      <w:r>
        <w:rPr>
          <w:rFonts w:ascii="Arial" w:hAnsi="Arial" w:cs="Arial"/>
          <w:color w:val="auto"/>
          <w:sz w:val="22"/>
          <w:szCs w:val="22"/>
        </w:rPr>
        <w:t xml:space="preserve">NIHE </w:t>
      </w:r>
      <w:r w:rsidRPr="0016560C">
        <w:rPr>
          <w:rFonts w:ascii="Arial" w:hAnsi="Arial" w:cs="Arial"/>
          <w:color w:val="auto"/>
          <w:sz w:val="22"/>
          <w:szCs w:val="22"/>
        </w:rPr>
        <w:t xml:space="preserve">Housing Management System (HMS), which went live in July 2011. </w:t>
      </w:r>
    </w:p>
    <w:p w14:paraId="3010F2DC" w14:textId="77777777" w:rsidR="00D67F55" w:rsidRPr="0043008D" w:rsidRDefault="00D67F55" w:rsidP="00D67F55"/>
    <w:p w14:paraId="1541A73C" w14:textId="77777777" w:rsidR="00D67F55" w:rsidRDefault="00D67F55" w:rsidP="00D67F55">
      <w:pPr>
        <w:pStyle w:val="Heading2"/>
      </w:pPr>
      <w:r w:rsidRPr="00543571">
        <w:lastRenderedPageBreak/>
        <w:t>Homelessness</w:t>
      </w:r>
    </w:p>
    <w:p w14:paraId="12B95CF3" w14:textId="77777777" w:rsidR="00D67F55" w:rsidRPr="00C65813" w:rsidRDefault="00D67F55" w:rsidP="00D67F55">
      <w:pPr>
        <w:rPr>
          <w:rFonts w:ascii="Arial" w:hAnsi="Arial" w:cs="Arial"/>
          <w:color w:val="auto"/>
          <w:sz w:val="32"/>
          <w:szCs w:val="26"/>
        </w:rPr>
      </w:pPr>
      <w:r w:rsidRPr="00C65813">
        <w:rPr>
          <w:rFonts w:ascii="Arial" w:hAnsi="Arial" w:cs="Arial"/>
          <w:color w:val="auto"/>
          <w:sz w:val="22"/>
        </w:rPr>
        <w:t>Statistics on Homelessness are sourced from the Northern Ireland Housing Executive (NIHE). Under the Housing (NI) Order 1988, NIHE has a statutory responsibility to secure permanent accommodation for persons who are unintentionally homeless and in priority need, to secure temporary accommodation in a variety of circumstances and to provide advice and assistance to those who are homeless or threatened with homelessness. For further details see:</w:t>
      </w:r>
    </w:p>
    <w:p w14:paraId="6C2F99EF" w14:textId="77777777" w:rsidR="00D67F55" w:rsidRPr="00360653" w:rsidRDefault="00D67F55" w:rsidP="00D67F55">
      <w:pPr>
        <w:jc w:val="both"/>
        <w:rPr>
          <w:rFonts w:ascii="Arial" w:hAnsi="Arial" w:cs="Arial"/>
          <w:color w:val="auto"/>
          <w:kern w:val="0"/>
          <w:sz w:val="22"/>
          <w:szCs w:val="22"/>
        </w:rPr>
      </w:pPr>
      <w:hyperlink r:id="rId15" w:history="1">
        <w:r>
          <w:rPr>
            <w:rFonts w:ascii="Arial" w:hAnsi="Arial" w:cs="Arial"/>
            <w:color w:val="0000FF"/>
            <w:kern w:val="0"/>
            <w:sz w:val="22"/>
            <w:szCs w:val="22"/>
            <w:u w:val="single"/>
          </w:rPr>
          <w:t>The Housing Executive - Homelessness</w:t>
        </w:r>
      </w:hyperlink>
      <w:r w:rsidRPr="00360653">
        <w:rPr>
          <w:rFonts w:ascii="Arial" w:hAnsi="Arial" w:cs="Arial"/>
          <w:color w:val="auto"/>
          <w:kern w:val="0"/>
          <w:sz w:val="22"/>
          <w:szCs w:val="22"/>
        </w:rPr>
        <w:t xml:space="preserve"> </w:t>
      </w:r>
    </w:p>
    <w:p w14:paraId="793166D9" w14:textId="77777777" w:rsidR="00D67F55" w:rsidRPr="00360653" w:rsidRDefault="00D67F55" w:rsidP="00D67F55">
      <w:pPr>
        <w:jc w:val="both"/>
        <w:rPr>
          <w:rFonts w:ascii="Arial" w:hAnsi="Arial" w:cs="Arial"/>
          <w:color w:val="auto"/>
          <w:kern w:val="0"/>
          <w:sz w:val="22"/>
          <w:szCs w:val="22"/>
        </w:rPr>
      </w:pPr>
      <w:r w:rsidRPr="00360653">
        <w:rPr>
          <w:rFonts w:ascii="Arial" w:hAnsi="Arial" w:cs="Arial"/>
          <w:color w:val="auto"/>
          <w:kern w:val="0"/>
          <w:sz w:val="22"/>
          <w:szCs w:val="22"/>
        </w:rPr>
        <w:t>Information on the NIHE Homelessness Strategy can be found at the following link:</w:t>
      </w:r>
    </w:p>
    <w:p w14:paraId="77438AF0" w14:textId="77777777" w:rsidR="00D67F55" w:rsidRPr="00360653" w:rsidRDefault="00D67F55" w:rsidP="00D67F55">
      <w:pPr>
        <w:jc w:val="both"/>
        <w:rPr>
          <w:rFonts w:ascii="Arial" w:hAnsi="Arial" w:cs="Arial"/>
          <w:color w:val="auto"/>
          <w:kern w:val="0"/>
          <w:sz w:val="22"/>
          <w:szCs w:val="22"/>
        </w:rPr>
      </w:pPr>
      <w:hyperlink r:id="rId16" w:history="1">
        <w:r>
          <w:rPr>
            <w:rFonts w:ascii="Arial" w:hAnsi="Arial" w:cs="Arial"/>
            <w:color w:val="0000FF"/>
            <w:kern w:val="0"/>
            <w:sz w:val="22"/>
            <w:szCs w:val="22"/>
            <w:u w:val="single"/>
          </w:rPr>
          <w:t>NIHE Homelessness Strategy</w:t>
        </w:r>
      </w:hyperlink>
    </w:p>
    <w:p w14:paraId="75361FFB" w14:textId="77777777" w:rsidR="00D67F55" w:rsidRDefault="00D67F55" w:rsidP="00D67F55">
      <w:pPr>
        <w:jc w:val="both"/>
        <w:rPr>
          <w:rFonts w:ascii="Arial" w:hAnsi="Arial" w:cs="Arial"/>
          <w:b/>
          <w:color w:val="auto"/>
          <w:kern w:val="0"/>
          <w:sz w:val="22"/>
          <w:szCs w:val="22"/>
        </w:rPr>
      </w:pPr>
    </w:p>
    <w:p w14:paraId="3875D7B2" w14:textId="77777777" w:rsidR="00D67F55" w:rsidRPr="00360653" w:rsidRDefault="00D67F55" w:rsidP="00D67F55">
      <w:pPr>
        <w:jc w:val="both"/>
        <w:rPr>
          <w:rFonts w:ascii="Arial" w:hAnsi="Arial" w:cs="Arial"/>
          <w:b/>
          <w:color w:val="auto"/>
          <w:kern w:val="0"/>
          <w:sz w:val="22"/>
          <w:szCs w:val="22"/>
        </w:rPr>
      </w:pPr>
      <w:r w:rsidRPr="00360653">
        <w:rPr>
          <w:rFonts w:ascii="Arial" w:hAnsi="Arial" w:cs="Arial"/>
          <w:b/>
          <w:color w:val="auto"/>
          <w:kern w:val="0"/>
          <w:sz w:val="22"/>
          <w:szCs w:val="22"/>
        </w:rPr>
        <w:t>Definition of Full Duty Applicant</w:t>
      </w:r>
    </w:p>
    <w:p w14:paraId="1BE096B7" w14:textId="77777777" w:rsidR="00D67F55" w:rsidRPr="00360653" w:rsidRDefault="00D67F55" w:rsidP="00D67F55">
      <w:pPr>
        <w:autoSpaceDE w:val="0"/>
        <w:autoSpaceDN w:val="0"/>
        <w:adjustRightInd w:val="0"/>
        <w:contextualSpacing/>
        <w:jc w:val="both"/>
        <w:rPr>
          <w:rFonts w:ascii="Arial" w:hAnsi="Arial" w:cs="Arial"/>
          <w:color w:val="000000"/>
          <w:kern w:val="0"/>
          <w:sz w:val="22"/>
          <w:szCs w:val="22"/>
        </w:rPr>
      </w:pPr>
      <w:r w:rsidRPr="00360653">
        <w:rPr>
          <w:rFonts w:ascii="Arial" w:hAnsi="Arial" w:cs="Arial"/>
          <w:color w:val="000000"/>
          <w:kern w:val="0"/>
          <w:sz w:val="22"/>
          <w:szCs w:val="22"/>
        </w:rPr>
        <w:t xml:space="preserve">The Housing (NI) Order 1988 (as amended) imposes a statutory duty on the Housing Executive to respond to homelessness. Where the Housing Executive has reason to believe an applicant may be homeless or threatened with homelessness it makes enquiries to confirm whether the applicant is eligible for assistance, and whether they are homeless or threatened with homelessness. If homeless or threatened with homelessness, the Housing Executive will need to assess whether the applicant has a priority need for accommodation and whether they became homeless or threatened with homelessness intentionally. </w:t>
      </w:r>
    </w:p>
    <w:p w14:paraId="1202B629" w14:textId="77777777" w:rsidR="00D67F55" w:rsidRPr="00360653" w:rsidRDefault="00D67F55" w:rsidP="00D67F55">
      <w:pPr>
        <w:autoSpaceDE w:val="0"/>
        <w:autoSpaceDN w:val="0"/>
        <w:adjustRightInd w:val="0"/>
        <w:contextualSpacing/>
        <w:jc w:val="both"/>
        <w:rPr>
          <w:rFonts w:ascii="Arial" w:hAnsi="Arial" w:cs="Arial"/>
          <w:color w:val="000000"/>
          <w:kern w:val="0"/>
          <w:sz w:val="22"/>
          <w:szCs w:val="22"/>
        </w:rPr>
      </w:pPr>
    </w:p>
    <w:p w14:paraId="0D1307E8" w14:textId="77777777" w:rsidR="00D67F55" w:rsidRPr="00360653" w:rsidRDefault="00D67F55" w:rsidP="00D67F55">
      <w:pPr>
        <w:autoSpaceDE w:val="0"/>
        <w:autoSpaceDN w:val="0"/>
        <w:adjustRightInd w:val="0"/>
        <w:jc w:val="both"/>
        <w:rPr>
          <w:rFonts w:ascii="Arial" w:hAnsi="Arial" w:cs="Arial"/>
          <w:color w:val="000000"/>
          <w:kern w:val="0"/>
          <w:sz w:val="22"/>
          <w:szCs w:val="22"/>
        </w:rPr>
      </w:pPr>
      <w:r w:rsidRPr="00360653">
        <w:rPr>
          <w:rFonts w:ascii="Arial" w:hAnsi="Arial" w:cs="Arial"/>
          <w:color w:val="000000"/>
          <w:kern w:val="0"/>
          <w:sz w:val="22"/>
          <w:szCs w:val="22"/>
        </w:rPr>
        <w:t>Where the Housing Executive concludes that an applicant is eligible, homeless (threatened with homelessness), in priority need and unintentionally homeless it owes them the full housing duty in line with the provisions of the 1988 Order. An applicant to whom this full housing duty is owed is operationally referred to as a “Full Duty Applicant” – FDA. Where an applicant is owed the full housing duty, the Executive shall ensure that accommodation becomes available for their occupation.</w:t>
      </w:r>
    </w:p>
    <w:p w14:paraId="2E230DEC" w14:textId="77777777" w:rsidR="00D67F55" w:rsidRPr="00360653" w:rsidRDefault="00D67F55" w:rsidP="00D67F55">
      <w:pPr>
        <w:autoSpaceDE w:val="0"/>
        <w:autoSpaceDN w:val="0"/>
        <w:adjustRightInd w:val="0"/>
        <w:jc w:val="both"/>
        <w:rPr>
          <w:rFonts w:ascii="Arial" w:hAnsi="Arial" w:cs="Arial"/>
          <w:color w:val="000000"/>
          <w:kern w:val="0"/>
          <w:sz w:val="22"/>
          <w:szCs w:val="22"/>
        </w:rPr>
      </w:pPr>
    </w:p>
    <w:p w14:paraId="11D9EAE2" w14:textId="77777777" w:rsidR="00D67F55" w:rsidRPr="00360653" w:rsidRDefault="00D67F55" w:rsidP="00D67F55">
      <w:pPr>
        <w:autoSpaceDE w:val="0"/>
        <w:autoSpaceDN w:val="0"/>
        <w:adjustRightInd w:val="0"/>
        <w:jc w:val="both"/>
        <w:rPr>
          <w:rFonts w:ascii="Arial" w:hAnsi="Arial" w:cs="Arial"/>
          <w:color w:val="000000"/>
          <w:kern w:val="0"/>
          <w:sz w:val="22"/>
          <w:szCs w:val="22"/>
        </w:rPr>
      </w:pPr>
      <w:r w:rsidRPr="00360653">
        <w:rPr>
          <w:rFonts w:ascii="Arial" w:hAnsi="Arial" w:cs="Arial"/>
          <w:color w:val="000000"/>
          <w:kern w:val="0"/>
          <w:sz w:val="22"/>
          <w:szCs w:val="22"/>
        </w:rPr>
        <w:t xml:space="preserve">The Housing Executive can discharge its housing duty in one of three ways: by re-housing of the applicant in the social or private sector, by offering the applicant </w:t>
      </w:r>
      <w:r>
        <w:rPr>
          <w:rFonts w:ascii="Arial" w:hAnsi="Arial" w:cs="Arial"/>
          <w:color w:val="000000"/>
          <w:kern w:val="0"/>
          <w:sz w:val="22"/>
          <w:szCs w:val="22"/>
        </w:rPr>
        <w:t>two</w:t>
      </w:r>
      <w:r w:rsidRPr="00360653">
        <w:rPr>
          <w:rFonts w:ascii="Arial" w:hAnsi="Arial" w:cs="Arial"/>
          <w:color w:val="000000"/>
          <w:kern w:val="0"/>
          <w:sz w:val="22"/>
          <w:szCs w:val="22"/>
        </w:rPr>
        <w:t xml:space="preserve"> reasonable offers of accommodation which are all refused by the applicant or if the applicant re-houses him/herself and is no longer interested. </w:t>
      </w:r>
    </w:p>
    <w:p w14:paraId="701492E6" w14:textId="77777777" w:rsidR="00D67F55" w:rsidRPr="00360653" w:rsidRDefault="00D67F55" w:rsidP="00D67F55">
      <w:pPr>
        <w:jc w:val="both"/>
        <w:rPr>
          <w:rFonts w:ascii="Arial" w:hAnsi="Arial" w:cs="Arial"/>
          <w:color w:val="auto"/>
          <w:kern w:val="0"/>
          <w:sz w:val="22"/>
          <w:szCs w:val="22"/>
        </w:rPr>
      </w:pPr>
    </w:p>
    <w:p w14:paraId="6054879A" w14:textId="77777777" w:rsidR="00D67F55" w:rsidRPr="00360653" w:rsidRDefault="00D67F55" w:rsidP="00D67F55">
      <w:pPr>
        <w:jc w:val="both"/>
        <w:rPr>
          <w:rFonts w:ascii="Arial" w:hAnsi="Arial" w:cs="Arial"/>
          <w:b/>
          <w:color w:val="auto"/>
          <w:kern w:val="0"/>
          <w:sz w:val="22"/>
          <w:szCs w:val="22"/>
        </w:rPr>
      </w:pPr>
      <w:r w:rsidRPr="00360653">
        <w:rPr>
          <w:rFonts w:ascii="Arial" w:hAnsi="Arial" w:cs="Arial"/>
          <w:b/>
          <w:color w:val="auto"/>
          <w:kern w:val="0"/>
          <w:sz w:val="22"/>
          <w:szCs w:val="22"/>
        </w:rPr>
        <w:t>Data Quality</w:t>
      </w:r>
    </w:p>
    <w:p w14:paraId="25E2F723" w14:textId="77777777" w:rsidR="00D67F55" w:rsidRPr="00360653" w:rsidRDefault="00D67F55" w:rsidP="00D67F55">
      <w:pPr>
        <w:jc w:val="both"/>
        <w:rPr>
          <w:rFonts w:ascii="Arial" w:hAnsi="Arial" w:cs="Arial"/>
          <w:color w:val="auto"/>
          <w:kern w:val="0"/>
          <w:sz w:val="22"/>
          <w:szCs w:val="22"/>
        </w:rPr>
      </w:pPr>
      <w:r w:rsidRPr="00360653">
        <w:rPr>
          <w:rFonts w:ascii="Arial" w:hAnsi="Arial" w:cs="Arial"/>
          <w:color w:val="auto"/>
          <w:kern w:val="0"/>
          <w:sz w:val="22"/>
          <w:szCs w:val="22"/>
        </w:rPr>
        <w:t>The following quality information relate</w:t>
      </w:r>
      <w:r>
        <w:rPr>
          <w:rFonts w:ascii="Arial" w:hAnsi="Arial" w:cs="Arial"/>
          <w:color w:val="auto"/>
          <w:kern w:val="0"/>
          <w:sz w:val="22"/>
          <w:szCs w:val="22"/>
        </w:rPr>
        <w:t>s to the homelessness tables 2.4, 2.5, 2.6 and 2.7</w:t>
      </w:r>
      <w:r w:rsidRPr="00360653">
        <w:rPr>
          <w:rFonts w:ascii="Arial" w:hAnsi="Arial" w:cs="Arial"/>
          <w:color w:val="auto"/>
          <w:kern w:val="0"/>
          <w:sz w:val="22"/>
          <w:szCs w:val="22"/>
        </w:rPr>
        <w:t>. Information relating to specific tables is noted as such.</w:t>
      </w:r>
    </w:p>
    <w:p w14:paraId="0F2FCB8A" w14:textId="77777777" w:rsidR="00D67F55" w:rsidRPr="00360653" w:rsidRDefault="00D67F55" w:rsidP="00D67F55">
      <w:pPr>
        <w:jc w:val="both"/>
        <w:rPr>
          <w:rFonts w:ascii="Arial" w:hAnsi="Arial" w:cs="Arial"/>
          <w:color w:val="auto"/>
          <w:kern w:val="0"/>
          <w:sz w:val="22"/>
          <w:szCs w:val="22"/>
        </w:rPr>
      </w:pPr>
    </w:p>
    <w:p w14:paraId="37A02E19" w14:textId="77777777" w:rsidR="00D67F55" w:rsidRDefault="00D67F55" w:rsidP="00D67F55">
      <w:pPr>
        <w:jc w:val="both"/>
        <w:rPr>
          <w:rFonts w:ascii="Arial" w:hAnsi="Arial" w:cs="Arial"/>
          <w:i/>
          <w:color w:val="auto"/>
          <w:kern w:val="0"/>
          <w:sz w:val="22"/>
          <w:szCs w:val="22"/>
        </w:rPr>
      </w:pPr>
      <w:r w:rsidRPr="00360653">
        <w:rPr>
          <w:rFonts w:ascii="Arial" w:hAnsi="Arial" w:cs="Arial"/>
          <w:i/>
          <w:color w:val="auto"/>
          <w:kern w:val="0"/>
          <w:sz w:val="22"/>
          <w:szCs w:val="22"/>
        </w:rPr>
        <w:t>Dynamic Data</w:t>
      </w:r>
    </w:p>
    <w:p w14:paraId="17153B11" w14:textId="77777777" w:rsidR="00D67F55" w:rsidRPr="00360653" w:rsidRDefault="00D67F55" w:rsidP="00D67F55">
      <w:pPr>
        <w:jc w:val="both"/>
        <w:rPr>
          <w:rFonts w:ascii="Arial" w:hAnsi="Arial" w:cs="Arial"/>
          <w:i/>
          <w:color w:val="auto"/>
          <w:kern w:val="0"/>
          <w:sz w:val="22"/>
          <w:szCs w:val="22"/>
        </w:rPr>
      </w:pPr>
    </w:p>
    <w:p w14:paraId="2487C7AE" w14:textId="77777777" w:rsidR="00D67F55" w:rsidRDefault="00D67F55" w:rsidP="00D67F55">
      <w:pPr>
        <w:jc w:val="both"/>
        <w:rPr>
          <w:rFonts w:ascii="Arial" w:hAnsi="Arial" w:cs="Arial"/>
          <w:color w:val="auto"/>
          <w:kern w:val="0"/>
          <w:sz w:val="22"/>
          <w:szCs w:val="22"/>
        </w:rPr>
      </w:pPr>
      <w:r w:rsidRPr="00360653">
        <w:rPr>
          <w:rFonts w:ascii="Arial" w:hAnsi="Arial" w:cs="Arial"/>
          <w:color w:val="auto"/>
          <w:kern w:val="0"/>
          <w:sz w:val="22"/>
          <w:szCs w:val="22"/>
        </w:rPr>
        <w:t>As of 1</w:t>
      </w:r>
      <w:r w:rsidRPr="00360653">
        <w:rPr>
          <w:rFonts w:ascii="Arial" w:hAnsi="Arial" w:cs="Arial"/>
          <w:color w:val="auto"/>
          <w:kern w:val="0"/>
          <w:sz w:val="22"/>
          <w:szCs w:val="22"/>
          <w:vertAlign w:val="superscript"/>
        </w:rPr>
        <w:t>st</w:t>
      </w:r>
      <w:r w:rsidRPr="00360653">
        <w:rPr>
          <w:rFonts w:ascii="Arial" w:hAnsi="Arial" w:cs="Arial"/>
          <w:color w:val="auto"/>
          <w:kern w:val="0"/>
          <w:sz w:val="22"/>
          <w:szCs w:val="22"/>
        </w:rPr>
        <w:t xml:space="preserve"> quarter </w:t>
      </w:r>
      <w:r>
        <w:rPr>
          <w:rFonts w:ascii="Arial" w:hAnsi="Arial" w:cs="Arial"/>
          <w:color w:val="auto"/>
          <w:kern w:val="0"/>
          <w:sz w:val="22"/>
          <w:szCs w:val="22"/>
        </w:rPr>
        <w:t>(</w:t>
      </w:r>
      <w:r w:rsidRPr="00360653">
        <w:rPr>
          <w:rFonts w:ascii="Arial" w:hAnsi="Arial" w:cs="Arial"/>
          <w:color w:val="auto"/>
          <w:kern w:val="0"/>
          <w:sz w:val="22"/>
          <w:szCs w:val="22"/>
        </w:rPr>
        <w:t>April – June</w:t>
      </w:r>
      <w:r>
        <w:rPr>
          <w:rFonts w:ascii="Arial" w:hAnsi="Arial" w:cs="Arial"/>
          <w:color w:val="auto"/>
          <w:kern w:val="0"/>
          <w:sz w:val="22"/>
          <w:szCs w:val="22"/>
        </w:rPr>
        <w:t>)</w:t>
      </w:r>
      <w:r w:rsidRPr="00360653">
        <w:rPr>
          <w:rFonts w:ascii="Arial" w:hAnsi="Arial" w:cs="Arial"/>
          <w:color w:val="auto"/>
          <w:kern w:val="0"/>
          <w:sz w:val="22"/>
          <w:szCs w:val="22"/>
        </w:rPr>
        <w:t xml:space="preserve"> 2018</w:t>
      </w:r>
      <w:r>
        <w:rPr>
          <w:rFonts w:ascii="Arial" w:hAnsi="Arial" w:cs="Arial"/>
          <w:color w:val="auto"/>
          <w:kern w:val="0"/>
          <w:sz w:val="22"/>
          <w:szCs w:val="22"/>
        </w:rPr>
        <w:t>,</w:t>
      </w:r>
      <w:r w:rsidRPr="00360653">
        <w:rPr>
          <w:rFonts w:ascii="Arial" w:hAnsi="Arial" w:cs="Arial"/>
          <w:color w:val="auto"/>
          <w:kern w:val="0"/>
          <w:sz w:val="22"/>
          <w:szCs w:val="22"/>
        </w:rPr>
        <w:t xml:space="preserve"> the Housing Executive moved to a new reporting system.  Previously, data was reported at a point in time.</w:t>
      </w:r>
    </w:p>
    <w:p w14:paraId="08042326" w14:textId="77777777" w:rsidR="00D67F55" w:rsidRPr="00360653" w:rsidRDefault="00D67F55" w:rsidP="00D67F55">
      <w:pPr>
        <w:jc w:val="both"/>
        <w:rPr>
          <w:rFonts w:ascii="Arial" w:hAnsi="Arial" w:cs="Arial"/>
          <w:color w:val="auto"/>
          <w:kern w:val="0"/>
          <w:sz w:val="22"/>
          <w:szCs w:val="22"/>
        </w:rPr>
      </w:pPr>
    </w:p>
    <w:p w14:paraId="21C5207B" w14:textId="77777777" w:rsidR="00D67F55" w:rsidRPr="00360653" w:rsidRDefault="00D67F55" w:rsidP="00D67F55">
      <w:pPr>
        <w:jc w:val="both"/>
        <w:rPr>
          <w:rFonts w:ascii="Arial" w:hAnsi="Arial" w:cs="Arial"/>
          <w:color w:val="auto"/>
          <w:kern w:val="0"/>
          <w:sz w:val="22"/>
          <w:szCs w:val="22"/>
        </w:rPr>
      </w:pPr>
      <w:r w:rsidRPr="00360653">
        <w:rPr>
          <w:rFonts w:ascii="Arial" w:hAnsi="Arial" w:cs="Arial"/>
          <w:color w:val="auto"/>
          <w:kern w:val="0"/>
          <w:sz w:val="22"/>
          <w:szCs w:val="22"/>
        </w:rPr>
        <w:t>The</w:t>
      </w:r>
      <w:r>
        <w:rPr>
          <w:rFonts w:ascii="Arial" w:hAnsi="Arial" w:cs="Arial"/>
          <w:color w:val="auto"/>
          <w:kern w:val="0"/>
          <w:sz w:val="22"/>
          <w:szCs w:val="22"/>
        </w:rPr>
        <w:t xml:space="preserve"> </w:t>
      </w:r>
      <w:r w:rsidRPr="00360653">
        <w:rPr>
          <w:rFonts w:ascii="Arial" w:hAnsi="Arial" w:cs="Arial"/>
          <w:color w:val="auto"/>
          <w:kern w:val="0"/>
          <w:sz w:val="22"/>
          <w:szCs w:val="22"/>
        </w:rPr>
        <w:t xml:space="preserve">reporting system </w:t>
      </w:r>
      <w:r>
        <w:rPr>
          <w:rFonts w:ascii="Arial" w:hAnsi="Arial" w:cs="Arial"/>
          <w:color w:val="auto"/>
          <w:kern w:val="0"/>
          <w:sz w:val="22"/>
          <w:szCs w:val="22"/>
        </w:rPr>
        <w:t>in use since April 2018</w:t>
      </w:r>
      <w:r w:rsidRPr="00360653">
        <w:rPr>
          <w:rFonts w:ascii="Arial" w:hAnsi="Arial" w:cs="Arial"/>
          <w:color w:val="auto"/>
          <w:kern w:val="0"/>
          <w:sz w:val="22"/>
          <w:szCs w:val="22"/>
        </w:rPr>
        <w:t xml:space="preserve"> pulls data from the live system.  The data is dynamic and reflects the changing nature of the customer journey as it happens.</w:t>
      </w:r>
      <w:r>
        <w:rPr>
          <w:rFonts w:ascii="Arial" w:hAnsi="Arial" w:cs="Arial"/>
          <w:color w:val="auto"/>
          <w:kern w:val="0"/>
          <w:sz w:val="22"/>
          <w:szCs w:val="22"/>
        </w:rPr>
        <w:t xml:space="preserve"> </w:t>
      </w:r>
    </w:p>
    <w:p w14:paraId="227BC097" w14:textId="77777777" w:rsidR="00D67F55" w:rsidRPr="00360653" w:rsidRDefault="00D67F55" w:rsidP="00D67F55">
      <w:pPr>
        <w:jc w:val="both"/>
        <w:rPr>
          <w:rFonts w:ascii="Arial" w:hAnsi="Arial" w:cs="Arial"/>
          <w:color w:val="auto"/>
          <w:kern w:val="0"/>
          <w:sz w:val="22"/>
          <w:szCs w:val="22"/>
        </w:rPr>
      </w:pPr>
    </w:p>
    <w:p w14:paraId="00981349" w14:textId="77777777" w:rsidR="00D67F55" w:rsidRDefault="00D67F55" w:rsidP="00D67F55">
      <w:pPr>
        <w:jc w:val="both"/>
        <w:rPr>
          <w:rFonts w:ascii="Arial" w:hAnsi="Arial" w:cs="Arial"/>
          <w:color w:val="auto"/>
          <w:kern w:val="0"/>
          <w:sz w:val="22"/>
          <w:szCs w:val="22"/>
        </w:rPr>
      </w:pPr>
      <w:r w:rsidRPr="00360653">
        <w:rPr>
          <w:rFonts w:ascii="Arial" w:hAnsi="Arial" w:cs="Arial"/>
          <w:color w:val="auto"/>
          <w:kern w:val="0"/>
          <w:sz w:val="22"/>
          <w:szCs w:val="22"/>
        </w:rPr>
        <w:t>All categories may be subject to change and adjustment as each quarter’s report is downloaded.  For example, a case may initially be rejected in quarter one, however, upon review the original decision may be overturned and the household subsequently accepted.  As a result when quarter two data is presented, Q1 will now have an additional accepted case.  Cases may be concluded due to loss of contact with a household and reopened where the household re-establishes contact.</w:t>
      </w:r>
    </w:p>
    <w:p w14:paraId="6528945C" w14:textId="77777777" w:rsidR="00D67F55" w:rsidRDefault="00D67F55" w:rsidP="00D67F55">
      <w:pPr>
        <w:jc w:val="both"/>
        <w:rPr>
          <w:rFonts w:ascii="Arial" w:hAnsi="Arial" w:cs="Arial"/>
          <w:color w:val="auto"/>
          <w:kern w:val="0"/>
          <w:sz w:val="22"/>
          <w:szCs w:val="22"/>
        </w:rPr>
      </w:pPr>
    </w:p>
    <w:p w14:paraId="60D07A24" w14:textId="77777777" w:rsidR="00D67F55" w:rsidRPr="00360653" w:rsidRDefault="00D67F55" w:rsidP="00D67F55">
      <w:pPr>
        <w:jc w:val="both"/>
        <w:rPr>
          <w:rFonts w:ascii="Arial" w:hAnsi="Arial" w:cs="Arial"/>
          <w:color w:val="auto"/>
          <w:kern w:val="0"/>
          <w:sz w:val="22"/>
          <w:szCs w:val="22"/>
        </w:rPr>
      </w:pPr>
      <w:r w:rsidRPr="00250070">
        <w:rPr>
          <w:rFonts w:ascii="Arial" w:hAnsi="Arial" w:cs="Arial"/>
          <w:color w:val="auto"/>
          <w:kern w:val="0"/>
          <w:sz w:val="22"/>
          <w:szCs w:val="22"/>
        </w:rPr>
        <w:t xml:space="preserve">The statistics contained within the publication and supplementary tables are subject to revision in future releases. This is to account for retrospective actions on the Housing Management </w:t>
      </w:r>
      <w:r w:rsidRPr="00250070">
        <w:rPr>
          <w:rFonts w:ascii="Arial" w:hAnsi="Arial" w:cs="Arial"/>
          <w:color w:val="auto"/>
          <w:kern w:val="0"/>
          <w:sz w:val="22"/>
          <w:szCs w:val="22"/>
        </w:rPr>
        <w:lastRenderedPageBreak/>
        <w:t>System (HMS). These revisions are performed in accordance with T3.9 of the UK Statistics Authority Code of Practice for Statistics.</w:t>
      </w:r>
    </w:p>
    <w:p w14:paraId="38EAB1E3" w14:textId="77777777" w:rsidR="00D67F55" w:rsidRPr="00360653" w:rsidRDefault="00D67F55" w:rsidP="00D67F55">
      <w:pPr>
        <w:jc w:val="both"/>
        <w:rPr>
          <w:rFonts w:ascii="Arial" w:hAnsi="Arial" w:cs="Arial"/>
          <w:b/>
          <w:color w:val="auto"/>
          <w:kern w:val="0"/>
          <w:sz w:val="22"/>
          <w:szCs w:val="22"/>
        </w:rPr>
      </w:pPr>
    </w:p>
    <w:p w14:paraId="1EB72024" w14:textId="77777777" w:rsidR="00D67F55" w:rsidRPr="00360653" w:rsidRDefault="00D67F55" w:rsidP="00D67F55">
      <w:pPr>
        <w:jc w:val="both"/>
        <w:rPr>
          <w:rFonts w:ascii="Arial" w:hAnsi="Arial" w:cs="Arial"/>
          <w:b/>
          <w:color w:val="auto"/>
          <w:kern w:val="0"/>
          <w:sz w:val="22"/>
          <w:szCs w:val="22"/>
        </w:rPr>
      </w:pPr>
      <w:r w:rsidRPr="00360653">
        <w:rPr>
          <w:rFonts w:ascii="Arial" w:hAnsi="Arial" w:cs="Arial"/>
          <w:b/>
          <w:color w:val="auto"/>
          <w:kern w:val="0"/>
          <w:sz w:val="22"/>
          <w:szCs w:val="22"/>
        </w:rPr>
        <w:t>Each quarter’s data will now reflect the current position with each household rather than the position at the end of the quarter wh</w:t>
      </w:r>
      <w:r>
        <w:rPr>
          <w:rFonts w:ascii="Arial" w:hAnsi="Arial" w:cs="Arial"/>
          <w:b/>
          <w:color w:val="auto"/>
          <w:kern w:val="0"/>
          <w:sz w:val="22"/>
          <w:szCs w:val="22"/>
        </w:rPr>
        <w:t>en the data was originally run.</w:t>
      </w:r>
    </w:p>
    <w:p w14:paraId="7258D446" w14:textId="77777777" w:rsidR="00D67F55" w:rsidRPr="00360653" w:rsidRDefault="00D67F55" w:rsidP="00D67F55">
      <w:pPr>
        <w:jc w:val="both"/>
        <w:rPr>
          <w:rFonts w:ascii="Arial" w:hAnsi="Arial" w:cs="Arial"/>
          <w:color w:val="auto"/>
          <w:kern w:val="0"/>
          <w:sz w:val="22"/>
          <w:szCs w:val="22"/>
        </w:rPr>
      </w:pPr>
    </w:p>
    <w:p w14:paraId="54D48168" w14:textId="77777777" w:rsidR="00D67F55" w:rsidRDefault="00D67F55" w:rsidP="00D67F55">
      <w:pPr>
        <w:jc w:val="both"/>
        <w:rPr>
          <w:rFonts w:ascii="Arial" w:hAnsi="Arial" w:cs="Arial"/>
          <w:i/>
          <w:color w:val="auto"/>
          <w:kern w:val="0"/>
          <w:sz w:val="22"/>
          <w:szCs w:val="22"/>
        </w:rPr>
      </w:pPr>
      <w:r w:rsidRPr="00360653">
        <w:rPr>
          <w:rFonts w:ascii="Arial" w:hAnsi="Arial" w:cs="Arial"/>
          <w:i/>
          <w:color w:val="auto"/>
          <w:kern w:val="0"/>
          <w:sz w:val="22"/>
          <w:szCs w:val="22"/>
        </w:rPr>
        <w:t>New Breakdowns</w:t>
      </w:r>
    </w:p>
    <w:p w14:paraId="777555E9" w14:textId="77777777" w:rsidR="00D67F55" w:rsidRPr="00360653" w:rsidRDefault="00D67F55" w:rsidP="00D67F55">
      <w:pPr>
        <w:jc w:val="both"/>
        <w:rPr>
          <w:rFonts w:ascii="Arial" w:hAnsi="Arial" w:cs="Arial"/>
          <w:i/>
          <w:color w:val="auto"/>
          <w:kern w:val="0"/>
          <w:sz w:val="22"/>
          <w:szCs w:val="22"/>
        </w:rPr>
      </w:pPr>
    </w:p>
    <w:p w14:paraId="6B6DB165" w14:textId="77777777" w:rsidR="00D67F55" w:rsidRPr="00360653" w:rsidRDefault="00D67F55" w:rsidP="00D67F55">
      <w:pPr>
        <w:numPr>
          <w:ilvl w:val="0"/>
          <w:numId w:val="8"/>
        </w:numPr>
        <w:jc w:val="both"/>
        <w:rPr>
          <w:rFonts w:ascii="Arial" w:hAnsi="Arial" w:cs="Arial"/>
          <w:color w:val="auto"/>
          <w:kern w:val="0"/>
          <w:sz w:val="22"/>
          <w:szCs w:val="22"/>
        </w:rPr>
      </w:pPr>
      <w:r w:rsidRPr="00360653">
        <w:rPr>
          <w:rFonts w:ascii="Arial" w:hAnsi="Arial" w:cs="Arial"/>
          <w:color w:val="auto"/>
          <w:kern w:val="0"/>
          <w:sz w:val="22"/>
          <w:szCs w:val="22"/>
          <w:u w:val="single"/>
        </w:rPr>
        <w:t>Accommodation Not Reasonable</w:t>
      </w:r>
      <w:r>
        <w:rPr>
          <w:rFonts w:ascii="Arial" w:hAnsi="Arial" w:cs="Arial"/>
          <w:color w:val="auto"/>
          <w:kern w:val="0"/>
          <w:sz w:val="22"/>
          <w:szCs w:val="22"/>
          <w:u w:val="single"/>
        </w:rPr>
        <w:t xml:space="preserve"> (ANR)</w:t>
      </w:r>
      <w:r w:rsidRPr="00360653">
        <w:rPr>
          <w:rFonts w:ascii="Arial" w:hAnsi="Arial" w:cs="Arial"/>
          <w:color w:val="auto"/>
          <w:kern w:val="0"/>
          <w:sz w:val="22"/>
          <w:szCs w:val="22"/>
        </w:rPr>
        <w:t xml:space="preserve">: The breakdown of categories was introduced </w:t>
      </w:r>
      <w:r>
        <w:rPr>
          <w:rFonts w:ascii="Arial" w:hAnsi="Arial" w:cs="Arial"/>
          <w:color w:val="auto"/>
          <w:kern w:val="0"/>
          <w:sz w:val="22"/>
          <w:szCs w:val="22"/>
        </w:rPr>
        <w:t>in</w:t>
      </w:r>
      <w:r w:rsidRPr="00360653">
        <w:rPr>
          <w:rFonts w:ascii="Arial" w:hAnsi="Arial" w:cs="Arial"/>
          <w:color w:val="auto"/>
          <w:kern w:val="0"/>
          <w:sz w:val="22"/>
          <w:szCs w:val="22"/>
        </w:rPr>
        <w:t xml:space="preserve"> May 2018.  This means that all cases prior to this were recorded using the generic ANR reason.  All cases after this were recorded using the new category breakdowns. </w:t>
      </w:r>
    </w:p>
    <w:p w14:paraId="6A3B634E" w14:textId="77777777" w:rsidR="00D67F55" w:rsidRDefault="00D67F55" w:rsidP="00D67F55">
      <w:pPr>
        <w:ind w:left="709"/>
        <w:jc w:val="both"/>
        <w:rPr>
          <w:rFonts w:ascii="Arial" w:hAnsi="Arial" w:cs="Arial"/>
          <w:color w:val="auto"/>
          <w:kern w:val="0"/>
          <w:sz w:val="22"/>
          <w:szCs w:val="22"/>
        </w:rPr>
      </w:pPr>
    </w:p>
    <w:p w14:paraId="035D8BAB" w14:textId="77777777" w:rsidR="00D67F55" w:rsidRDefault="00D67F55" w:rsidP="00D67F55">
      <w:pPr>
        <w:ind w:left="709"/>
        <w:jc w:val="both"/>
        <w:rPr>
          <w:rFonts w:ascii="Arial" w:hAnsi="Arial" w:cs="Arial"/>
          <w:color w:val="auto"/>
          <w:kern w:val="0"/>
          <w:sz w:val="22"/>
          <w:szCs w:val="22"/>
        </w:rPr>
      </w:pPr>
      <w:r w:rsidRPr="00360653">
        <w:rPr>
          <w:rFonts w:ascii="Arial" w:hAnsi="Arial" w:cs="Arial"/>
          <w:color w:val="auto"/>
          <w:kern w:val="0"/>
          <w:sz w:val="22"/>
          <w:szCs w:val="22"/>
        </w:rPr>
        <w:t>Information on new categories:</w:t>
      </w:r>
    </w:p>
    <w:p w14:paraId="36C3DAEA" w14:textId="77777777" w:rsidR="00D67F55" w:rsidRPr="00360653" w:rsidRDefault="00D67F55" w:rsidP="00D67F55">
      <w:pPr>
        <w:ind w:left="709"/>
        <w:jc w:val="both"/>
        <w:rPr>
          <w:rFonts w:ascii="Arial" w:hAnsi="Arial" w:cs="Arial"/>
          <w:color w:val="auto"/>
          <w:kern w:val="0"/>
          <w:sz w:val="22"/>
          <w:szCs w:val="22"/>
        </w:rPr>
      </w:pPr>
    </w:p>
    <w:p w14:paraId="12B21AE7" w14:textId="77777777" w:rsidR="00D67F55" w:rsidRPr="00360653" w:rsidRDefault="00D67F55" w:rsidP="00D67F55">
      <w:pPr>
        <w:numPr>
          <w:ilvl w:val="0"/>
          <w:numId w:val="7"/>
        </w:numPr>
        <w:jc w:val="both"/>
        <w:rPr>
          <w:rFonts w:ascii="Arial" w:hAnsi="Arial" w:cs="Arial"/>
          <w:color w:val="auto"/>
          <w:kern w:val="0"/>
          <w:sz w:val="22"/>
          <w:szCs w:val="22"/>
        </w:rPr>
      </w:pPr>
      <w:r w:rsidRPr="00360653">
        <w:rPr>
          <w:rFonts w:ascii="Arial" w:hAnsi="Arial" w:cs="Arial"/>
          <w:color w:val="auto"/>
          <w:kern w:val="0"/>
          <w:sz w:val="22"/>
          <w:szCs w:val="22"/>
        </w:rPr>
        <w:t>ANR Financial hardship would be used where a household is unable to sustain their property due to accruing debt – often as a result of a change in circumstances such as the loss of a job</w:t>
      </w:r>
    </w:p>
    <w:p w14:paraId="55BEC5DE" w14:textId="77777777" w:rsidR="00D67F55" w:rsidRPr="00360653" w:rsidRDefault="00D67F55" w:rsidP="00D67F55">
      <w:pPr>
        <w:numPr>
          <w:ilvl w:val="0"/>
          <w:numId w:val="7"/>
        </w:numPr>
        <w:jc w:val="both"/>
        <w:rPr>
          <w:rFonts w:ascii="Arial" w:hAnsi="Arial" w:cs="Arial"/>
          <w:color w:val="auto"/>
          <w:kern w:val="0"/>
          <w:sz w:val="22"/>
          <w:szCs w:val="22"/>
        </w:rPr>
      </w:pPr>
      <w:r w:rsidRPr="00360653">
        <w:rPr>
          <w:rFonts w:ascii="Arial" w:hAnsi="Arial" w:cs="Arial"/>
          <w:color w:val="auto"/>
          <w:kern w:val="0"/>
          <w:sz w:val="22"/>
          <w:szCs w:val="22"/>
        </w:rPr>
        <w:t xml:space="preserve">ANR Mental Health would be used where a household is unable to sustain the property due to a deterioration in their mental health caused by remaining at the property </w:t>
      </w:r>
    </w:p>
    <w:p w14:paraId="12B9A719" w14:textId="77777777" w:rsidR="00D67F55" w:rsidRPr="00360653" w:rsidRDefault="00D67F55" w:rsidP="00D67F55">
      <w:pPr>
        <w:numPr>
          <w:ilvl w:val="0"/>
          <w:numId w:val="7"/>
        </w:numPr>
        <w:jc w:val="both"/>
        <w:rPr>
          <w:rFonts w:ascii="Arial" w:hAnsi="Arial" w:cs="Arial"/>
          <w:color w:val="auto"/>
          <w:kern w:val="0"/>
          <w:sz w:val="22"/>
          <w:szCs w:val="22"/>
        </w:rPr>
      </w:pPr>
      <w:r w:rsidRPr="00360653">
        <w:rPr>
          <w:rFonts w:ascii="Arial" w:hAnsi="Arial" w:cs="Arial"/>
          <w:color w:val="auto"/>
          <w:kern w:val="0"/>
          <w:sz w:val="22"/>
          <w:szCs w:val="22"/>
        </w:rPr>
        <w:t>ANR Other would be used where a household experiences some unique event or circumstance which makes it unreasonable for them to continue to reside there and which is not covered by another category.</w:t>
      </w:r>
    </w:p>
    <w:p w14:paraId="774C2E90" w14:textId="77777777" w:rsidR="00D67F55" w:rsidRPr="00360653" w:rsidRDefault="00D67F55" w:rsidP="00D67F55">
      <w:pPr>
        <w:numPr>
          <w:ilvl w:val="0"/>
          <w:numId w:val="7"/>
        </w:numPr>
        <w:jc w:val="both"/>
        <w:rPr>
          <w:rFonts w:ascii="Arial" w:hAnsi="Arial" w:cs="Arial"/>
          <w:color w:val="auto"/>
          <w:kern w:val="0"/>
          <w:sz w:val="22"/>
          <w:szCs w:val="22"/>
        </w:rPr>
      </w:pPr>
      <w:r w:rsidRPr="00360653">
        <w:rPr>
          <w:rFonts w:ascii="Arial" w:hAnsi="Arial" w:cs="Arial"/>
          <w:color w:val="auto"/>
          <w:kern w:val="0"/>
          <w:sz w:val="22"/>
          <w:szCs w:val="22"/>
        </w:rPr>
        <w:t>ANR Overcrowding would be used where extreme overcrowding makes it unreasonable for a household to continue to occupy a property</w:t>
      </w:r>
    </w:p>
    <w:p w14:paraId="40A34B44" w14:textId="77777777" w:rsidR="00D67F55" w:rsidRPr="00360653" w:rsidRDefault="00D67F55" w:rsidP="00D67F55">
      <w:pPr>
        <w:numPr>
          <w:ilvl w:val="0"/>
          <w:numId w:val="7"/>
        </w:numPr>
        <w:jc w:val="both"/>
        <w:rPr>
          <w:rFonts w:ascii="Arial" w:hAnsi="Arial" w:cs="Arial"/>
          <w:color w:val="auto"/>
          <w:kern w:val="0"/>
          <w:sz w:val="22"/>
          <w:szCs w:val="22"/>
        </w:rPr>
      </w:pPr>
      <w:r w:rsidRPr="00360653">
        <w:rPr>
          <w:rFonts w:ascii="Arial" w:hAnsi="Arial" w:cs="Arial"/>
          <w:color w:val="auto"/>
          <w:kern w:val="0"/>
          <w:sz w:val="22"/>
          <w:szCs w:val="22"/>
        </w:rPr>
        <w:t xml:space="preserve">ANR Physical health/disability would be used where a property becomes unsuitable for a person’s need due to their physical health, for example, no longer being able to manage stairs to a bathroom </w:t>
      </w:r>
    </w:p>
    <w:p w14:paraId="538B3A68" w14:textId="77777777" w:rsidR="00D67F55" w:rsidRPr="00360653" w:rsidRDefault="00D67F55" w:rsidP="00D67F55">
      <w:pPr>
        <w:numPr>
          <w:ilvl w:val="0"/>
          <w:numId w:val="7"/>
        </w:numPr>
        <w:jc w:val="both"/>
        <w:rPr>
          <w:rFonts w:ascii="Arial" w:hAnsi="Arial" w:cs="Arial"/>
          <w:color w:val="auto"/>
          <w:kern w:val="0"/>
          <w:sz w:val="22"/>
          <w:szCs w:val="22"/>
        </w:rPr>
      </w:pPr>
      <w:r w:rsidRPr="00360653">
        <w:rPr>
          <w:rFonts w:ascii="Arial" w:hAnsi="Arial" w:cs="Arial"/>
          <w:color w:val="auto"/>
          <w:kern w:val="0"/>
          <w:sz w:val="22"/>
          <w:szCs w:val="22"/>
        </w:rPr>
        <w:t>ANR Property Unfitness would be used where the property is in such a poor state of repair as to be detrimental to the residents’ well being</w:t>
      </w:r>
    </w:p>
    <w:p w14:paraId="1F4C854B" w14:textId="77777777" w:rsidR="00D67F55" w:rsidRPr="00360653" w:rsidRDefault="00D67F55" w:rsidP="00D67F55">
      <w:pPr>
        <w:numPr>
          <w:ilvl w:val="0"/>
          <w:numId w:val="7"/>
        </w:numPr>
        <w:jc w:val="both"/>
        <w:rPr>
          <w:rFonts w:ascii="Arial" w:hAnsi="Arial" w:cs="Arial"/>
          <w:b/>
          <w:color w:val="auto"/>
          <w:kern w:val="0"/>
          <w:sz w:val="22"/>
          <w:szCs w:val="22"/>
        </w:rPr>
      </w:pPr>
      <w:r w:rsidRPr="00360653">
        <w:rPr>
          <w:rFonts w:ascii="Arial" w:hAnsi="Arial" w:cs="Arial"/>
          <w:color w:val="auto"/>
          <w:kern w:val="0"/>
          <w:sz w:val="22"/>
          <w:szCs w:val="22"/>
        </w:rPr>
        <w:t>ANR violence would be used where an act of violence has been committed in the property making it unreasonable for a member of the household to continue to occupy.</w:t>
      </w:r>
    </w:p>
    <w:p w14:paraId="55A25C18" w14:textId="77777777" w:rsidR="00D67F55" w:rsidRPr="00360653" w:rsidRDefault="00D67F55" w:rsidP="00D67F55">
      <w:pPr>
        <w:ind w:left="709"/>
        <w:jc w:val="both"/>
        <w:rPr>
          <w:rFonts w:ascii="Arial" w:hAnsi="Arial" w:cs="Arial"/>
          <w:b/>
          <w:color w:val="auto"/>
          <w:kern w:val="0"/>
          <w:sz w:val="22"/>
          <w:szCs w:val="22"/>
        </w:rPr>
      </w:pPr>
    </w:p>
    <w:p w14:paraId="50B3FA5B" w14:textId="77777777" w:rsidR="00D67F55" w:rsidRPr="00360653" w:rsidRDefault="00D67F55" w:rsidP="00D67F55">
      <w:pPr>
        <w:numPr>
          <w:ilvl w:val="0"/>
          <w:numId w:val="8"/>
        </w:numPr>
        <w:jc w:val="both"/>
        <w:rPr>
          <w:rFonts w:ascii="Arial" w:hAnsi="Arial" w:cs="Arial"/>
          <w:color w:val="auto"/>
          <w:kern w:val="0"/>
          <w:sz w:val="22"/>
          <w:szCs w:val="22"/>
        </w:rPr>
      </w:pPr>
      <w:r w:rsidRPr="00360653">
        <w:rPr>
          <w:rFonts w:ascii="Arial" w:hAnsi="Arial" w:cs="Arial"/>
          <w:color w:val="auto"/>
          <w:kern w:val="0"/>
          <w:sz w:val="22"/>
          <w:szCs w:val="22"/>
          <w:u w:val="single"/>
        </w:rPr>
        <w:t>Intimidation</w:t>
      </w:r>
      <w:r w:rsidRPr="00360653">
        <w:rPr>
          <w:rFonts w:ascii="Arial" w:hAnsi="Arial" w:cs="Arial"/>
          <w:color w:val="auto"/>
          <w:kern w:val="0"/>
          <w:sz w:val="22"/>
          <w:szCs w:val="22"/>
        </w:rPr>
        <w:t xml:space="preserve">: </w:t>
      </w:r>
      <w:r>
        <w:rPr>
          <w:rFonts w:ascii="Arial" w:hAnsi="Arial" w:cs="Arial"/>
          <w:color w:val="auto"/>
          <w:kern w:val="0"/>
          <w:sz w:val="22"/>
          <w:szCs w:val="22"/>
        </w:rPr>
        <w:t>Rule 23 points (i</w:t>
      </w:r>
      <w:r w:rsidRPr="00360653">
        <w:rPr>
          <w:rFonts w:ascii="Arial" w:hAnsi="Arial" w:cs="Arial"/>
          <w:color w:val="auto"/>
          <w:kern w:val="0"/>
          <w:sz w:val="22"/>
          <w:szCs w:val="22"/>
        </w:rPr>
        <w:t xml:space="preserve">ntimidation </w:t>
      </w:r>
      <w:r>
        <w:rPr>
          <w:rFonts w:ascii="Arial" w:hAnsi="Arial" w:cs="Arial"/>
          <w:color w:val="auto"/>
          <w:kern w:val="0"/>
          <w:sz w:val="22"/>
          <w:szCs w:val="22"/>
        </w:rPr>
        <w:t xml:space="preserve">points) were removed </w:t>
      </w:r>
      <w:r w:rsidRPr="00670AA3">
        <w:rPr>
          <w:rFonts w:ascii="Arial" w:hAnsi="Arial" w:cs="Arial"/>
          <w:color w:val="auto"/>
          <w:kern w:val="0"/>
          <w:sz w:val="22"/>
          <w:szCs w:val="22"/>
        </w:rPr>
        <w:t>with effect from midnight on 31 March 2025</w:t>
      </w:r>
      <w:r>
        <w:rPr>
          <w:rFonts w:ascii="Arial" w:hAnsi="Arial" w:cs="Arial"/>
          <w:color w:val="auto"/>
          <w:kern w:val="0"/>
          <w:sz w:val="22"/>
          <w:szCs w:val="22"/>
        </w:rPr>
        <w:t xml:space="preserve">. Two new replacement categories, “Hate crime” and “Violence/Risk of violence”, were introduced in the April-June 2025 publication. </w:t>
      </w:r>
    </w:p>
    <w:p w14:paraId="239855A5" w14:textId="77777777" w:rsidR="00D67F55" w:rsidRPr="00360653" w:rsidRDefault="00D67F55" w:rsidP="00D67F55">
      <w:pPr>
        <w:ind w:left="709"/>
        <w:jc w:val="both"/>
        <w:rPr>
          <w:rFonts w:ascii="Arial" w:hAnsi="Arial" w:cs="Arial"/>
          <w:color w:val="auto"/>
          <w:kern w:val="0"/>
          <w:sz w:val="22"/>
          <w:szCs w:val="22"/>
        </w:rPr>
      </w:pPr>
    </w:p>
    <w:p w14:paraId="261A5397" w14:textId="77777777" w:rsidR="00D67F55" w:rsidRDefault="00D67F55" w:rsidP="00D67F55">
      <w:pPr>
        <w:jc w:val="both"/>
        <w:rPr>
          <w:rFonts w:ascii="Arial" w:hAnsi="Arial" w:cs="Arial"/>
          <w:i/>
          <w:color w:val="auto"/>
          <w:kern w:val="0"/>
          <w:sz w:val="22"/>
          <w:szCs w:val="22"/>
        </w:rPr>
      </w:pPr>
      <w:r w:rsidRPr="00360653">
        <w:rPr>
          <w:rFonts w:ascii="Arial" w:hAnsi="Arial" w:cs="Arial"/>
          <w:i/>
          <w:color w:val="auto"/>
          <w:kern w:val="0"/>
          <w:sz w:val="22"/>
          <w:szCs w:val="22"/>
        </w:rPr>
        <w:t>Presenting Reason/Established Reason</w:t>
      </w:r>
    </w:p>
    <w:p w14:paraId="5B05879E" w14:textId="77777777" w:rsidR="00D67F55" w:rsidRPr="00360653" w:rsidRDefault="00D67F55" w:rsidP="00D67F55">
      <w:pPr>
        <w:jc w:val="both"/>
        <w:rPr>
          <w:rFonts w:ascii="Arial" w:hAnsi="Arial" w:cs="Arial"/>
          <w:i/>
          <w:color w:val="auto"/>
          <w:kern w:val="0"/>
          <w:sz w:val="22"/>
          <w:szCs w:val="22"/>
        </w:rPr>
      </w:pPr>
    </w:p>
    <w:p w14:paraId="7E30A856" w14:textId="77777777" w:rsidR="00D67F55" w:rsidRPr="00360653" w:rsidRDefault="00D67F55" w:rsidP="00D67F55">
      <w:pPr>
        <w:jc w:val="both"/>
        <w:rPr>
          <w:rFonts w:ascii="Arial" w:hAnsi="Arial" w:cs="Arial"/>
          <w:color w:val="auto"/>
          <w:kern w:val="0"/>
          <w:sz w:val="22"/>
          <w:szCs w:val="22"/>
        </w:rPr>
      </w:pPr>
      <w:r w:rsidRPr="00360653">
        <w:rPr>
          <w:rFonts w:ascii="Arial" w:hAnsi="Arial" w:cs="Arial"/>
          <w:color w:val="auto"/>
          <w:kern w:val="0"/>
          <w:sz w:val="22"/>
          <w:szCs w:val="22"/>
        </w:rPr>
        <w:t>It should be noted that in 2017/18 an additional “presenting reason” field was included in the recording of homelessness cases.  Previously, cases were recorded by established reason which was input following investigations.  Historically this resulted in many “no data” presenting cases where the case was not accepted.  The addition of the “presenting reason” field has eliminated most “no data” cases.</w:t>
      </w:r>
    </w:p>
    <w:p w14:paraId="2BB6F9AF" w14:textId="77777777" w:rsidR="00D67F55" w:rsidRPr="00360653" w:rsidRDefault="00D67F55" w:rsidP="00D67F55">
      <w:pPr>
        <w:jc w:val="both"/>
        <w:rPr>
          <w:rFonts w:ascii="Arial" w:hAnsi="Arial" w:cs="Arial"/>
          <w:color w:val="auto"/>
          <w:kern w:val="0"/>
          <w:sz w:val="22"/>
          <w:szCs w:val="22"/>
        </w:rPr>
      </w:pPr>
    </w:p>
    <w:p w14:paraId="25956D97" w14:textId="77777777" w:rsidR="00D67F55" w:rsidRPr="00360653" w:rsidRDefault="00D67F55" w:rsidP="00D67F55">
      <w:pPr>
        <w:jc w:val="both"/>
        <w:rPr>
          <w:rFonts w:ascii="Arial" w:hAnsi="Arial" w:cs="Arial"/>
          <w:color w:val="auto"/>
          <w:kern w:val="0"/>
          <w:sz w:val="22"/>
          <w:szCs w:val="22"/>
        </w:rPr>
      </w:pPr>
      <w:r w:rsidRPr="00360653">
        <w:rPr>
          <w:rFonts w:ascii="Arial" w:hAnsi="Arial" w:cs="Arial"/>
          <w:color w:val="auto"/>
          <w:kern w:val="0"/>
          <w:sz w:val="22"/>
          <w:szCs w:val="22"/>
        </w:rPr>
        <w:t xml:space="preserve">The implication of this is that following investigations, a household may be accepted as homeless for a different reason than their initial presenting reason.  In some cases, this may now result in higher level of acceptances than presentations in </w:t>
      </w:r>
      <w:r w:rsidRPr="005201CB">
        <w:rPr>
          <w:rFonts w:ascii="Arial" w:hAnsi="Arial" w:cs="Arial"/>
          <w:color w:val="auto"/>
          <w:kern w:val="0"/>
          <w:sz w:val="22"/>
          <w:szCs w:val="22"/>
        </w:rPr>
        <w:t>any given category.</w:t>
      </w:r>
    </w:p>
    <w:p w14:paraId="709A0A7A" w14:textId="77777777" w:rsidR="00D67F55" w:rsidRPr="00360653" w:rsidRDefault="00D67F55" w:rsidP="00D67F55">
      <w:pPr>
        <w:jc w:val="both"/>
        <w:rPr>
          <w:rFonts w:ascii="Arial" w:hAnsi="Arial" w:cs="Arial"/>
          <w:b/>
          <w:color w:val="auto"/>
          <w:kern w:val="0"/>
          <w:sz w:val="22"/>
          <w:szCs w:val="22"/>
        </w:rPr>
      </w:pPr>
    </w:p>
    <w:p w14:paraId="6090D53E" w14:textId="77777777" w:rsidR="00D67F55" w:rsidRDefault="00D67F55" w:rsidP="00D67F55">
      <w:pPr>
        <w:jc w:val="both"/>
        <w:rPr>
          <w:rFonts w:ascii="Arial" w:hAnsi="Arial" w:cs="Arial"/>
          <w:i/>
          <w:color w:val="auto"/>
          <w:kern w:val="0"/>
          <w:sz w:val="22"/>
          <w:szCs w:val="22"/>
        </w:rPr>
      </w:pPr>
      <w:r w:rsidRPr="00360653">
        <w:rPr>
          <w:rFonts w:ascii="Arial" w:hAnsi="Arial" w:cs="Arial"/>
          <w:i/>
          <w:color w:val="auto"/>
          <w:kern w:val="0"/>
          <w:sz w:val="22"/>
          <w:szCs w:val="22"/>
        </w:rPr>
        <w:t>Relevance</w:t>
      </w:r>
    </w:p>
    <w:p w14:paraId="2F518D28" w14:textId="77777777" w:rsidR="00D67F55" w:rsidRPr="00360653" w:rsidRDefault="00D67F55" w:rsidP="00D67F55">
      <w:pPr>
        <w:jc w:val="both"/>
        <w:rPr>
          <w:rFonts w:ascii="Arial" w:hAnsi="Arial" w:cs="Arial"/>
          <w:i/>
          <w:color w:val="auto"/>
          <w:kern w:val="0"/>
          <w:sz w:val="22"/>
          <w:szCs w:val="22"/>
        </w:rPr>
      </w:pPr>
    </w:p>
    <w:p w14:paraId="66A10501" w14:textId="77777777" w:rsidR="00D67F55" w:rsidRPr="00360653" w:rsidRDefault="00D67F55" w:rsidP="00D67F55">
      <w:pPr>
        <w:jc w:val="both"/>
        <w:rPr>
          <w:rFonts w:ascii="Arial" w:hAnsi="Arial" w:cs="Arial"/>
          <w:color w:val="auto"/>
          <w:kern w:val="0"/>
          <w:sz w:val="22"/>
          <w:szCs w:val="22"/>
        </w:rPr>
      </w:pPr>
      <w:r>
        <w:rPr>
          <w:rFonts w:ascii="Arial" w:hAnsi="Arial" w:cs="Arial"/>
          <w:color w:val="auto"/>
          <w:kern w:val="0"/>
          <w:sz w:val="22"/>
          <w:szCs w:val="22"/>
        </w:rPr>
        <w:t>Table 2.4</w:t>
      </w:r>
      <w:r w:rsidRPr="00360653">
        <w:rPr>
          <w:rFonts w:ascii="Arial" w:hAnsi="Arial" w:cs="Arial"/>
          <w:color w:val="auto"/>
          <w:kern w:val="0"/>
          <w:sz w:val="22"/>
          <w:szCs w:val="22"/>
        </w:rPr>
        <w:t xml:space="preserve"> reports on all households presenting as homeless in Northern Ireland, according to the reason for their application.  At the end of each financial year, figures are updated due to end of year reporting to include those who presented as homeless who were not on the system </w:t>
      </w:r>
      <w:r w:rsidRPr="00360653">
        <w:rPr>
          <w:rFonts w:ascii="Arial" w:hAnsi="Arial" w:cs="Arial"/>
          <w:color w:val="auto"/>
          <w:kern w:val="0"/>
          <w:sz w:val="22"/>
          <w:szCs w:val="22"/>
        </w:rPr>
        <w:lastRenderedPageBreak/>
        <w:t xml:space="preserve">at the time the quarterly figures were produced.  This can result in an update to figures for the entire financial year. </w:t>
      </w:r>
    </w:p>
    <w:p w14:paraId="4A49F086" w14:textId="77777777" w:rsidR="00D67F55" w:rsidRPr="00360653" w:rsidRDefault="00D67F55" w:rsidP="00D67F55">
      <w:pPr>
        <w:jc w:val="both"/>
        <w:rPr>
          <w:rFonts w:ascii="Arial" w:hAnsi="Arial" w:cs="Arial"/>
          <w:color w:val="auto"/>
          <w:kern w:val="0"/>
          <w:sz w:val="22"/>
          <w:szCs w:val="22"/>
        </w:rPr>
      </w:pPr>
    </w:p>
    <w:p w14:paraId="119D1382" w14:textId="77777777" w:rsidR="00D67F55" w:rsidRPr="00360653" w:rsidRDefault="00D67F55" w:rsidP="00D67F55">
      <w:pPr>
        <w:jc w:val="both"/>
        <w:rPr>
          <w:rFonts w:ascii="Arial" w:hAnsi="Arial" w:cs="Arial"/>
          <w:color w:val="auto"/>
          <w:kern w:val="0"/>
          <w:sz w:val="22"/>
          <w:szCs w:val="22"/>
        </w:rPr>
      </w:pPr>
      <w:r>
        <w:rPr>
          <w:rFonts w:ascii="Arial" w:hAnsi="Arial" w:cs="Arial"/>
          <w:color w:val="auto"/>
          <w:kern w:val="0"/>
          <w:sz w:val="22"/>
          <w:szCs w:val="22"/>
        </w:rPr>
        <w:t>Table 2.5</w:t>
      </w:r>
      <w:r w:rsidRPr="00360653">
        <w:rPr>
          <w:rFonts w:ascii="Arial" w:hAnsi="Arial" w:cs="Arial"/>
          <w:color w:val="auto"/>
          <w:kern w:val="0"/>
          <w:sz w:val="22"/>
          <w:szCs w:val="22"/>
        </w:rPr>
        <w:t xml:space="preserve"> reports quarterly statistics on households presenting as homeless in Northern Ireland, by household type.  At the end of each financial year, figures are updated due to end of year reporting to include presenters who were not on the system at the time the quarterly figures were produced.  This can result in an update to figures for the entire financial year. </w:t>
      </w:r>
    </w:p>
    <w:p w14:paraId="52021900" w14:textId="77777777" w:rsidR="00D67F55" w:rsidRPr="00360653" w:rsidRDefault="00D67F55" w:rsidP="00D67F55">
      <w:pPr>
        <w:jc w:val="both"/>
        <w:rPr>
          <w:rFonts w:ascii="Arial" w:hAnsi="Arial" w:cs="Arial"/>
          <w:color w:val="auto"/>
          <w:kern w:val="0"/>
          <w:sz w:val="22"/>
          <w:szCs w:val="22"/>
        </w:rPr>
      </w:pPr>
    </w:p>
    <w:p w14:paraId="3585E660" w14:textId="77777777" w:rsidR="00D67F55" w:rsidRDefault="00D67F55" w:rsidP="00D67F55">
      <w:pPr>
        <w:jc w:val="both"/>
        <w:rPr>
          <w:rFonts w:ascii="Arial" w:hAnsi="Arial" w:cs="Arial"/>
          <w:color w:val="auto"/>
          <w:kern w:val="0"/>
          <w:sz w:val="22"/>
          <w:szCs w:val="22"/>
        </w:rPr>
      </w:pPr>
      <w:r>
        <w:rPr>
          <w:rFonts w:ascii="Arial" w:hAnsi="Arial" w:cs="Arial"/>
          <w:color w:val="auto"/>
          <w:kern w:val="0"/>
          <w:sz w:val="22"/>
          <w:szCs w:val="22"/>
        </w:rPr>
        <w:t>Table 2.6</w:t>
      </w:r>
      <w:r w:rsidRPr="00360653">
        <w:rPr>
          <w:rFonts w:ascii="Arial" w:hAnsi="Arial" w:cs="Arial"/>
          <w:color w:val="auto"/>
          <w:kern w:val="0"/>
          <w:sz w:val="22"/>
          <w:szCs w:val="22"/>
        </w:rPr>
        <w:t xml:space="preserve"> reports on all those who presented as homeless and who were accepted as Full Duty Applicants (FDA) in Northern Ireland, according to the reason for their application.  At the end of each financial year, figures are updated due to end of year reporting. Those applicants who applied for FDA status in one quarter but were not accepted until a subsequent quarter are picked up in the end of year report. This can result in an update to figures for the entire financial year due to the redistribution of those not accepted as FDA in the same quarter they presented.</w:t>
      </w:r>
    </w:p>
    <w:p w14:paraId="6CE3AE64" w14:textId="77777777" w:rsidR="00D67F55" w:rsidRDefault="00D67F55" w:rsidP="00D67F55">
      <w:pPr>
        <w:jc w:val="both"/>
        <w:rPr>
          <w:rFonts w:ascii="Arial" w:hAnsi="Arial" w:cs="Arial"/>
          <w:color w:val="auto"/>
          <w:kern w:val="0"/>
          <w:sz w:val="22"/>
          <w:szCs w:val="22"/>
        </w:rPr>
      </w:pPr>
    </w:p>
    <w:p w14:paraId="75A61109" w14:textId="77777777" w:rsidR="00D67F55" w:rsidRPr="00360653" w:rsidRDefault="00D67F55" w:rsidP="00D67F55">
      <w:pPr>
        <w:jc w:val="both"/>
        <w:rPr>
          <w:rFonts w:ascii="Arial" w:hAnsi="Arial" w:cs="Arial"/>
          <w:color w:val="auto"/>
          <w:kern w:val="0"/>
          <w:sz w:val="22"/>
          <w:szCs w:val="22"/>
        </w:rPr>
      </w:pPr>
      <w:r>
        <w:rPr>
          <w:rFonts w:ascii="Arial" w:hAnsi="Arial" w:cs="Arial"/>
          <w:color w:val="auto"/>
          <w:kern w:val="0"/>
          <w:sz w:val="22"/>
          <w:szCs w:val="22"/>
        </w:rPr>
        <w:t>Table 2.7</w:t>
      </w:r>
      <w:r w:rsidRPr="00360653">
        <w:rPr>
          <w:rFonts w:ascii="Arial" w:hAnsi="Arial" w:cs="Arial"/>
          <w:color w:val="auto"/>
          <w:kern w:val="0"/>
          <w:sz w:val="22"/>
          <w:szCs w:val="22"/>
        </w:rPr>
        <w:t xml:space="preserve"> reports on all those who presented as homeless and who were accepted as Full Duty Applicants (FDA) in Northern Ireland, </w:t>
      </w:r>
      <w:r>
        <w:rPr>
          <w:rFonts w:ascii="Arial" w:hAnsi="Arial" w:cs="Arial"/>
          <w:color w:val="auto"/>
          <w:kern w:val="0"/>
          <w:sz w:val="22"/>
          <w:szCs w:val="22"/>
        </w:rPr>
        <w:t>broken down by household type</w:t>
      </w:r>
      <w:r w:rsidRPr="00360653">
        <w:rPr>
          <w:rFonts w:ascii="Arial" w:hAnsi="Arial" w:cs="Arial"/>
          <w:color w:val="auto"/>
          <w:kern w:val="0"/>
          <w:sz w:val="22"/>
          <w:szCs w:val="22"/>
        </w:rPr>
        <w:t>.  At the end of each financial year, figures are updated due to end of year reporting. Those applicants who applied for FDA status in one quarter but were not accepted until a subsequent quarter are picked up in the end of year report. This can result in an update to figures for the entire financial year due to the redistribution of those not accepted as FDA in the same quarter they presented.</w:t>
      </w:r>
    </w:p>
    <w:p w14:paraId="7EE876E2" w14:textId="77777777" w:rsidR="00D67F55" w:rsidRPr="00360653" w:rsidRDefault="00D67F55" w:rsidP="00D67F55">
      <w:pPr>
        <w:jc w:val="both"/>
        <w:rPr>
          <w:rFonts w:ascii="Arial" w:hAnsi="Arial" w:cs="Arial"/>
          <w:color w:val="auto"/>
          <w:kern w:val="0"/>
          <w:sz w:val="22"/>
          <w:szCs w:val="22"/>
        </w:rPr>
      </w:pPr>
    </w:p>
    <w:p w14:paraId="3725BC9B" w14:textId="77777777" w:rsidR="00D67F55" w:rsidRPr="00360653" w:rsidRDefault="00D67F55" w:rsidP="00D67F55">
      <w:pPr>
        <w:jc w:val="both"/>
        <w:rPr>
          <w:rFonts w:ascii="Arial" w:hAnsi="Arial" w:cs="Arial"/>
          <w:color w:val="auto"/>
          <w:kern w:val="0"/>
          <w:sz w:val="22"/>
          <w:szCs w:val="22"/>
        </w:rPr>
      </w:pPr>
      <w:r w:rsidRPr="00360653">
        <w:rPr>
          <w:rFonts w:ascii="Arial" w:hAnsi="Arial" w:cs="Arial"/>
          <w:color w:val="auto"/>
          <w:kern w:val="0"/>
          <w:sz w:val="22"/>
          <w:szCs w:val="22"/>
        </w:rPr>
        <w:t>Data are recorded by the Housing Executive in its Housing Management System (HMS), on a daily basis.</w:t>
      </w:r>
    </w:p>
    <w:p w14:paraId="3DC14D91" w14:textId="77777777" w:rsidR="00D67F55" w:rsidRPr="00360653" w:rsidRDefault="00D67F55" w:rsidP="00D67F55">
      <w:pPr>
        <w:jc w:val="both"/>
        <w:rPr>
          <w:rFonts w:ascii="Arial" w:hAnsi="Arial" w:cs="Arial"/>
          <w:color w:val="auto"/>
          <w:kern w:val="0"/>
          <w:sz w:val="22"/>
          <w:szCs w:val="22"/>
        </w:rPr>
      </w:pPr>
      <w:r w:rsidRPr="00360653">
        <w:rPr>
          <w:rFonts w:ascii="Arial" w:hAnsi="Arial" w:cs="Arial"/>
          <w:color w:val="auto"/>
          <w:kern w:val="0"/>
          <w:sz w:val="22"/>
          <w:szCs w:val="22"/>
        </w:rPr>
        <w:t>The information provided in the tables allows users to assess the level of homelessness in Northern Ireland, the reason for homelessness and those affected. Users include the Department for Communities in Northern Ireland (DfC) and other government departments, the Housing Executive, elected representatives, councils, agencies, charities, voluntary sector organisations and the private sector.</w:t>
      </w:r>
    </w:p>
    <w:p w14:paraId="3BC9838D" w14:textId="77777777" w:rsidR="00D67F55" w:rsidRPr="00360653" w:rsidRDefault="00D67F55" w:rsidP="00D67F55">
      <w:pPr>
        <w:jc w:val="both"/>
        <w:rPr>
          <w:rFonts w:ascii="Arial" w:hAnsi="Arial" w:cs="Arial"/>
          <w:i/>
          <w:color w:val="auto"/>
          <w:kern w:val="0"/>
          <w:sz w:val="22"/>
          <w:szCs w:val="22"/>
        </w:rPr>
      </w:pPr>
    </w:p>
    <w:p w14:paraId="3CC883D3" w14:textId="77777777" w:rsidR="00D67F55" w:rsidRDefault="00D67F55" w:rsidP="00D67F55">
      <w:pPr>
        <w:jc w:val="both"/>
        <w:rPr>
          <w:rFonts w:ascii="Arial" w:hAnsi="Arial" w:cs="Arial"/>
          <w:i/>
          <w:color w:val="auto"/>
          <w:kern w:val="0"/>
          <w:sz w:val="22"/>
          <w:szCs w:val="22"/>
        </w:rPr>
      </w:pPr>
      <w:r w:rsidRPr="00360653">
        <w:rPr>
          <w:rFonts w:ascii="Arial" w:hAnsi="Arial" w:cs="Arial"/>
          <w:i/>
          <w:color w:val="auto"/>
          <w:kern w:val="0"/>
          <w:sz w:val="22"/>
          <w:szCs w:val="22"/>
        </w:rPr>
        <w:t>Accessibility and clarity</w:t>
      </w:r>
    </w:p>
    <w:p w14:paraId="73761A0E" w14:textId="77777777" w:rsidR="00D67F55" w:rsidRPr="00360653" w:rsidRDefault="00D67F55" w:rsidP="00D67F55">
      <w:pPr>
        <w:jc w:val="both"/>
        <w:rPr>
          <w:rFonts w:ascii="Arial" w:hAnsi="Arial" w:cs="Arial"/>
          <w:i/>
          <w:color w:val="auto"/>
          <w:kern w:val="0"/>
          <w:sz w:val="22"/>
          <w:szCs w:val="22"/>
        </w:rPr>
      </w:pPr>
    </w:p>
    <w:p w14:paraId="14D27437" w14:textId="77777777" w:rsidR="00D67F55" w:rsidRPr="00360653" w:rsidRDefault="00D67F55" w:rsidP="00D67F55">
      <w:pPr>
        <w:jc w:val="both"/>
        <w:rPr>
          <w:rFonts w:ascii="Arial" w:hAnsi="Arial" w:cs="Arial"/>
          <w:color w:val="auto"/>
          <w:kern w:val="0"/>
          <w:sz w:val="22"/>
          <w:szCs w:val="22"/>
        </w:rPr>
      </w:pPr>
      <w:r w:rsidRPr="00360653">
        <w:rPr>
          <w:rFonts w:ascii="Arial" w:hAnsi="Arial" w:cs="Arial"/>
          <w:color w:val="auto"/>
          <w:kern w:val="0"/>
          <w:sz w:val="22"/>
          <w:szCs w:val="22"/>
        </w:rPr>
        <w:t xml:space="preserve">Tables are published each quarter in the </w:t>
      </w:r>
      <w:r w:rsidRPr="00360653">
        <w:rPr>
          <w:rFonts w:ascii="Arial" w:hAnsi="Arial" w:cs="Arial"/>
          <w:i/>
          <w:color w:val="auto"/>
          <w:kern w:val="0"/>
          <w:sz w:val="22"/>
          <w:szCs w:val="22"/>
        </w:rPr>
        <w:t>Northern Ireland Housing Bulletin</w:t>
      </w:r>
      <w:r w:rsidRPr="00360653">
        <w:rPr>
          <w:rFonts w:ascii="Arial" w:hAnsi="Arial" w:cs="Arial"/>
          <w:color w:val="auto"/>
          <w:kern w:val="0"/>
          <w:sz w:val="22"/>
          <w:szCs w:val="22"/>
        </w:rPr>
        <w:t xml:space="preserve">, where it is available in </w:t>
      </w:r>
      <w:r w:rsidRPr="005B164E">
        <w:rPr>
          <w:rFonts w:ascii="Arial" w:hAnsi="Arial" w:cs="Arial"/>
          <w:color w:val="auto"/>
          <w:kern w:val="0"/>
          <w:sz w:val="22"/>
          <w:szCs w:val="22"/>
        </w:rPr>
        <w:t>Excel format</w:t>
      </w:r>
      <w:r w:rsidRPr="00360653">
        <w:rPr>
          <w:rFonts w:ascii="Arial" w:hAnsi="Arial" w:cs="Arial"/>
          <w:color w:val="auto"/>
          <w:kern w:val="0"/>
          <w:sz w:val="22"/>
          <w:szCs w:val="22"/>
        </w:rPr>
        <w:t>.  Requests for the information in different formats can be made by contacting the Department for Communities.  Supporting and/or additional information may be available on request from the Housing Executive.</w:t>
      </w:r>
    </w:p>
    <w:p w14:paraId="778FAF7B" w14:textId="77777777" w:rsidR="00D67F55" w:rsidRPr="00360653" w:rsidRDefault="00D67F55" w:rsidP="00D67F55">
      <w:pPr>
        <w:jc w:val="both"/>
        <w:rPr>
          <w:rFonts w:ascii="Arial" w:hAnsi="Arial" w:cs="Arial"/>
          <w:color w:val="auto"/>
          <w:kern w:val="0"/>
          <w:sz w:val="22"/>
          <w:szCs w:val="22"/>
        </w:rPr>
      </w:pPr>
    </w:p>
    <w:p w14:paraId="5E4BFEAA" w14:textId="77777777" w:rsidR="00D67F55" w:rsidRDefault="00D67F55" w:rsidP="00D67F55">
      <w:pPr>
        <w:jc w:val="both"/>
        <w:rPr>
          <w:rFonts w:ascii="Arial" w:hAnsi="Arial" w:cs="Arial"/>
          <w:i/>
          <w:color w:val="auto"/>
          <w:kern w:val="0"/>
          <w:sz w:val="22"/>
          <w:szCs w:val="22"/>
        </w:rPr>
      </w:pPr>
      <w:r w:rsidRPr="00360653">
        <w:rPr>
          <w:rFonts w:ascii="Arial" w:hAnsi="Arial" w:cs="Arial"/>
          <w:i/>
          <w:color w:val="auto"/>
          <w:kern w:val="0"/>
          <w:sz w:val="22"/>
          <w:szCs w:val="22"/>
        </w:rPr>
        <w:t>Accuracy</w:t>
      </w:r>
    </w:p>
    <w:p w14:paraId="247598B3" w14:textId="77777777" w:rsidR="00D67F55" w:rsidRPr="00360653" w:rsidRDefault="00D67F55" w:rsidP="00D67F55">
      <w:pPr>
        <w:jc w:val="both"/>
        <w:rPr>
          <w:rFonts w:ascii="Arial" w:hAnsi="Arial" w:cs="Arial"/>
          <w:i/>
          <w:color w:val="auto"/>
          <w:kern w:val="0"/>
          <w:sz w:val="22"/>
          <w:szCs w:val="22"/>
        </w:rPr>
      </w:pPr>
    </w:p>
    <w:p w14:paraId="4E6FD5CE" w14:textId="77777777" w:rsidR="00D67F55" w:rsidRPr="00360653" w:rsidRDefault="00D67F55" w:rsidP="00D67F55">
      <w:pPr>
        <w:jc w:val="both"/>
        <w:rPr>
          <w:rFonts w:ascii="Arial" w:hAnsi="Arial" w:cs="Arial"/>
          <w:color w:val="auto"/>
          <w:kern w:val="0"/>
          <w:sz w:val="22"/>
          <w:szCs w:val="22"/>
        </w:rPr>
      </w:pPr>
      <w:r w:rsidRPr="00360653">
        <w:rPr>
          <w:rFonts w:ascii="Arial" w:hAnsi="Arial" w:cs="Arial"/>
          <w:color w:val="auto"/>
          <w:kern w:val="0"/>
          <w:sz w:val="22"/>
          <w:szCs w:val="22"/>
        </w:rPr>
        <w:t xml:space="preserve">Reports on the status of homelessness presentations are extracted from the Housing Management System for specified date parameters through Crystal Reports.  The Housing Executive acknowledges that some errors may occur due to the inputting of incorrect data but carefully checks all data that are to be published, to provide a high level of quality assurance.  Users should be aware that figures are extracted from a live database on a specific date. </w:t>
      </w:r>
    </w:p>
    <w:p w14:paraId="336A2451" w14:textId="77777777" w:rsidR="00D67F55" w:rsidRDefault="00D67F55" w:rsidP="00D67F55">
      <w:pPr>
        <w:jc w:val="both"/>
        <w:rPr>
          <w:rFonts w:ascii="Arial" w:hAnsi="Arial" w:cs="Arial"/>
          <w:color w:val="FF0000"/>
        </w:rPr>
      </w:pPr>
    </w:p>
    <w:p w14:paraId="0A000129" w14:textId="77777777" w:rsidR="00D67F55" w:rsidRPr="004364FA" w:rsidRDefault="00D67F55" w:rsidP="00D67F55">
      <w:pPr>
        <w:jc w:val="both"/>
        <w:rPr>
          <w:rFonts w:ascii="Arial" w:hAnsi="Arial" w:cs="Arial"/>
          <w:color w:val="auto"/>
          <w:kern w:val="0"/>
          <w:sz w:val="22"/>
          <w:szCs w:val="22"/>
        </w:rPr>
      </w:pPr>
      <w:r w:rsidRPr="004364FA">
        <w:rPr>
          <w:rFonts w:ascii="Arial" w:hAnsi="Arial" w:cs="Arial"/>
          <w:color w:val="auto"/>
          <w:kern w:val="0"/>
          <w:sz w:val="22"/>
          <w:szCs w:val="22"/>
        </w:rPr>
        <w:t xml:space="preserve">With regards to acceptances, it should be noted that in some cases decisions have been delayed as a result of third-party evidence not being immediately available as home visits have not been possible due to social distancing guidance. This </w:t>
      </w:r>
      <w:r>
        <w:rPr>
          <w:rFonts w:ascii="Arial" w:hAnsi="Arial" w:cs="Arial"/>
          <w:color w:val="auto"/>
          <w:kern w:val="0"/>
          <w:sz w:val="22"/>
          <w:szCs w:val="22"/>
        </w:rPr>
        <w:t>was</w:t>
      </w:r>
      <w:r w:rsidRPr="004364FA">
        <w:rPr>
          <w:rFonts w:ascii="Arial" w:hAnsi="Arial" w:cs="Arial"/>
          <w:color w:val="auto"/>
          <w:kern w:val="0"/>
          <w:sz w:val="22"/>
          <w:szCs w:val="22"/>
        </w:rPr>
        <w:t xml:space="preserve"> reflected in the data for April-June 202</w:t>
      </w:r>
      <w:r>
        <w:rPr>
          <w:rFonts w:ascii="Arial" w:hAnsi="Arial" w:cs="Arial"/>
          <w:color w:val="auto"/>
          <w:kern w:val="0"/>
          <w:sz w:val="22"/>
          <w:szCs w:val="22"/>
        </w:rPr>
        <w:t>1,</w:t>
      </w:r>
      <w:r w:rsidRPr="004364FA">
        <w:rPr>
          <w:rFonts w:ascii="Arial" w:hAnsi="Arial" w:cs="Arial"/>
          <w:color w:val="auto"/>
          <w:kern w:val="0"/>
          <w:sz w:val="22"/>
          <w:szCs w:val="22"/>
        </w:rPr>
        <w:t xml:space="preserve"> whe</w:t>
      </w:r>
      <w:r>
        <w:rPr>
          <w:rFonts w:ascii="Arial" w:hAnsi="Arial" w:cs="Arial"/>
          <w:color w:val="auto"/>
          <w:kern w:val="0"/>
          <w:sz w:val="22"/>
          <w:szCs w:val="22"/>
        </w:rPr>
        <w:t>n</w:t>
      </w:r>
      <w:r w:rsidRPr="004364FA">
        <w:rPr>
          <w:rFonts w:ascii="Arial" w:hAnsi="Arial" w:cs="Arial"/>
          <w:color w:val="auto"/>
          <w:kern w:val="0"/>
          <w:sz w:val="22"/>
          <w:szCs w:val="22"/>
        </w:rPr>
        <w:t xml:space="preserve"> 300 cases w</w:t>
      </w:r>
      <w:r>
        <w:rPr>
          <w:rFonts w:ascii="Arial" w:hAnsi="Arial" w:cs="Arial"/>
          <w:color w:val="auto"/>
          <w:kern w:val="0"/>
          <w:sz w:val="22"/>
          <w:szCs w:val="22"/>
        </w:rPr>
        <w:t>ere</w:t>
      </w:r>
      <w:r w:rsidRPr="004364FA">
        <w:rPr>
          <w:rFonts w:ascii="Arial" w:hAnsi="Arial" w:cs="Arial"/>
          <w:color w:val="auto"/>
          <w:kern w:val="0"/>
          <w:sz w:val="22"/>
          <w:szCs w:val="22"/>
        </w:rPr>
        <w:t xml:space="preserve"> recorded as ‘no decision’. In these circumstances, the Housing Executive ensure their statutory duty around the provision of temporary accommodation is adhered to until a decision is reached.</w:t>
      </w:r>
    </w:p>
    <w:p w14:paraId="3D392B2E" w14:textId="77777777" w:rsidR="00D67F55" w:rsidRPr="00360653" w:rsidRDefault="00D67F55" w:rsidP="00D67F55">
      <w:pPr>
        <w:jc w:val="both"/>
        <w:rPr>
          <w:rFonts w:ascii="Arial" w:hAnsi="Arial" w:cs="Arial"/>
          <w:color w:val="auto"/>
          <w:kern w:val="0"/>
          <w:sz w:val="22"/>
          <w:szCs w:val="22"/>
        </w:rPr>
      </w:pPr>
    </w:p>
    <w:p w14:paraId="553A60C5" w14:textId="77777777" w:rsidR="00D67F55" w:rsidRDefault="00D67F55" w:rsidP="00D67F55">
      <w:pPr>
        <w:jc w:val="both"/>
        <w:rPr>
          <w:rFonts w:ascii="Arial" w:hAnsi="Arial" w:cs="Arial"/>
          <w:i/>
          <w:color w:val="auto"/>
          <w:kern w:val="0"/>
          <w:sz w:val="22"/>
          <w:szCs w:val="22"/>
        </w:rPr>
      </w:pPr>
      <w:r w:rsidRPr="00360653">
        <w:rPr>
          <w:rFonts w:ascii="Arial" w:hAnsi="Arial" w:cs="Arial"/>
          <w:i/>
          <w:color w:val="auto"/>
          <w:kern w:val="0"/>
          <w:sz w:val="22"/>
          <w:szCs w:val="22"/>
        </w:rPr>
        <w:lastRenderedPageBreak/>
        <w:t>Timeliness</w:t>
      </w:r>
    </w:p>
    <w:p w14:paraId="3B9F5656" w14:textId="77777777" w:rsidR="00D67F55" w:rsidRPr="00360653" w:rsidRDefault="00D67F55" w:rsidP="00D67F55">
      <w:pPr>
        <w:jc w:val="both"/>
        <w:rPr>
          <w:rFonts w:ascii="Arial" w:hAnsi="Arial" w:cs="Arial"/>
          <w:i/>
          <w:color w:val="auto"/>
          <w:kern w:val="0"/>
          <w:sz w:val="22"/>
          <w:szCs w:val="22"/>
        </w:rPr>
      </w:pPr>
    </w:p>
    <w:p w14:paraId="6ABFE2E1" w14:textId="77777777" w:rsidR="00D67F55" w:rsidRPr="00360653" w:rsidRDefault="00D67F55" w:rsidP="00D67F55">
      <w:pPr>
        <w:jc w:val="both"/>
        <w:rPr>
          <w:rFonts w:ascii="Arial" w:hAnsi="Arial" w:cs="Arial"/>
          <w:color w:val="auto"/>
          <w:kern w:val="0"/>
          <w:sz w:val="22"/>
          <w:szCs w:val="22"/>
        </w:rPr>
      </w:pPr>
      <w:r w:rsidRPr="00360653">
        <w:rPr>
          <w:rFonts w:ascii="Arial" w:hAnsi="Arial" w:cs="Arial"/>
          <w:color w:val="auto"/>
          <w:kern w:val="0"/>
          <w:sz w:val="22"/>
          <w:szCs w:val="22"/>
        </w:rPr>
        <w:t>Homelessness statistics are published on a quarterly basis in the Northern Ireland Housing Bulletin. A wider range of homelessness statistics are published on an annual basis in the Northern Ireland Housing Statistics publication. The change to a new operational Housing Management System in July 2011 meant that homelessness statistics were not available for the last three quarters in 2011-12.</w:t>
      </w:r>
    </w:p>
    <w:p w14:paraId="5E6FB012" w14:textId="77777777" w:rsidR="00D67F55" w:rsidRPr="00360653" w:rsidRDefault="00D67F55" w:rsidP="00D67F55">
      <w:pPr>
        <w:jc w:val="both"/>
        <w:rPr>
          <w:rFonts w:ascii="Arial" w:hAnsi="Arial" w:cs="Arial"/>
          <w:color w:val="auto"/>
          <w:kern w:val="0"/>
          <w:sz w:val="22"/>
          <w:szCs w:val="22"/>
        </w:rPr>
      </w:pPr>
    </w:p>
    <w:p w14:paraId="7DC296AD" w14:textId="77777777" w:rsidR="00D67F55" w:rsidRDefault="00D67F55" w:rsidP="00D67F55">
      <w:pPr>
        <w:jc w:val="both"/>
        <w:rPr>
          <w:rFonts w:ascii="Arial" w:hAnsi="Arial" w:cs="Arial"/>
          <w:i/>
          <w:color w:val="auto"/>
          <w:kern w:val="0"/>
          <w:sz w:val="22"/>
          <w:szCs w:val="22"/>
        </w:rPr>
      </w:pPr>
      <w:r w:rsidRPr="00360653">
        <w:rPr>
          <w:rFonts w:ascii="Arial" w:hAnsi="Arial" w:cs="Arial"/>
          <w:i/>
          <w:color w:val="auto"/>
          <w:kern w:val="0"/>
          <w:sz w:val="22"/>
          <w:szCs w:val="22"/>
        </w:rPr>
        <w:t>Coherence &amp; comparability</w:t>
      </w:r>
    </w:p>
    <w:p w14:paraId="2D1B5985" w14:textId="77777777" w:rsidR="00D67F55" w:rsidRPr="00360653" w:rsidRDefault="00D67F55" w:rsidP="00D67F55">
      <w:pPr>
        <w:jc w:val="both"/>
        <w:rPr>
          <w:rFonts w:ascii="Arial" w:hAnsi="Arial" w:cs="Arial"/>
          <w:i/>
          <w:color w:val="auto"/>
          <w:kern w:val="0"/>
          <w:sz w:val="22"/>
          <w:szCs w:val="22"/>
        </w:rPr>
      </w:pPr>
    </w:p>
    <w:p w14:paraId="0D4601BC" w14:textId="77777777" w:rsidR="00D67F55" w:rsidRPr="00360653" w:rsidRDefault="00D67F55" w:rsidP="00D67F55">
      <w:pPr>
        <w:jc w:val="both"/>
        <w:rPr>
          <w:rFonts w:ascii="Arial" w:hAnsi="Arial" w:cs="Arial"/>
          <w:color w:val="auto"/>
          <w:kern w:val="0"/>
          <w:sz w:val="22"/>
          <w:szCs w:val="22"/>
          <w:u w:val="single"/>
        </w:rPr>
      </w:pPr>
      <w:r>
        <w:rPr>
          <w:rFonts w:ascii="Arial" w:hAnsi="Arial" w:cs="Arial"/>
          <w:color w:val="auto"/>
          <w:kern w:val="0"/>
          <w:sz w:val="22"/>
          <w:szCs w:val="22"/>
          <w:u w:val="single"/>
        </w:rPr>
        <w:t>Table 2.4</w:t>
      </w:r>
    </w:p>
    <w:p w14:paraId="51BD4889" w14:textId="77777777" w:rsidR="00D67F55" w:rsidRPr="00360653" w:rsidRDefault="00D67F55" w:rsidP="00D67F55">
      <w:pPr>
        <w:jc w:val="both"/>
        <w:rPr>
          <w:rFonts w:ascii="Arial" w:hAnsi="Arial" w:cs="Arial"/>
          <w:color w:val="auto"/>
          <w:kern w:val="0"/>
          <w:sz w:val="22"/>
          <w:szCs w:val="22"/>
        </w:rPr>
      </w:pPr>
      <w:r w:rsidRPr="00360653">
        <w:rPr>
          <w:rFonts w:ascii="Arial" w:hAnsi="Arial" w:cs="Arial"/>
          <w:iCs/>
          <w:color w:val="auto"/>
          <w:kern w:val="0"/>
          <w:sz w:val="22"/>
          <w:szCs w:val="22"/>
        </w:rPr>
        <w:t>Data from July 2011 onwards are not directly comparable with previous figures</w:t>
      </w:r>
      <w:r w:rsidRPr="00360653">
        <w:rPr>
          <w:rFonts w:ascii="Arial" w:hAnsi="Arial" w:cs="Arial"/>
          <w:color w:val="auto"/>
          <w:kern w:val="0"/>
          <w:sz w:val="22"/>
          <w:szCs w:val="22"/>
        </w:rPr>
        <w:t xml:space="preserve">. Data migration issues and coding variations following the introduction of a new operational Housing Management System (HMS) meant that no data on reason for presentation was recorded for 3731 cases in 2011-12 and 835 cases during April-June 2012.  For the period July-September 2012 onwards data migration is no longer an issue.  Keying variations accounted for some of the missing data, but the majority related to three possible outcomes – where the case was rejected, cancelled or concluded.  While the data captured through the HMS are essentially the same as those captured by the PRAWL system, data migration and coding variations in the period following the change of systems have had a small impact on the comparability of homelessness statistics. Hence figures </w:t>
      </w:r>
      <w:r w:rsidRPr="00360653">
        <w:rPr>
          <w:rFonts w:ascii="Arial" w:hAnsi="Arial" w:cs="Arial"/>
          <w:iCs/>
          <w:color w:val="auto"/>
          <w:kern w:val="0"/>
          <w:sz w:val="22"/>
          <w:szCs w:val="22"/>
        </w:rPr>
        <w:t>from July 2011 onwards</w:t>
      </w:r>
      <w:r w:rsidRPr="00360653">
        <w:rPr>
          <w:rFonts w:ascii="Arial" w:hAnsi="Arial" w:cs="Arial"/>
          <w:color w:val="auto"/>
          <w:kern w:val="0"/>
          <w:sz w:val="22"/>
          <w:szCs w:val="22"/>
        </w:rPr>
        <w:t xml:space="preserve"> are not directly comparable with those reported in previous years.</w:t>
      </w:r>
    </w:p>
    <w:p w14:paraId="6594954C" w14:textId="77777777" w:rsidR="00D67F55" w:rsidRPr="00360653" w:rsidRDefault="00D67F55" w:rsidP="00D67F55">
      <w:pPr>
        <w:jc w:val="both"/>
        <w:rPr>
          <w:rFonts w:ascii="Arial" w:hAnsi="Arial" w:cs="Arial"/>
          <w:color w:val="auto"/>
          <w:kern w:val="0"/>
          <w:sz w:val="22"/>
          <w:szCs w:val="22"/>
        </w:rPr>
      </w:pPr>
    </w:p>
    <w:p w14:paraId="1030632C" w14:textId="77777777" w:rsidR="00D67F55" w:rsidRPr="00360653" w:rsidRDefault="00D67F55" w:rsidP="00D67F55">
      <w:pPr>
        <w:jc w:val="both"/>
        <w:rPr>
          <w:rFonts w:ascii="Arial" w:hAnsi="Arial" w:cs="Arial"/>
          <w:color w:val="auto"/>
          <w:kern w:val="0"/>
          <w:sz w:val="22"/>
          <w:szCs w:val="22"/>
        </w:rPr>
      </w:pPr>
      <w:bookmarkStart w:id="0" w:name="OLE_LINK9"/>
      <w:bookmarkStart w:id="1" w:name="OLE_LINK10"/>
      <w:r w:rsidRPr="00360653">
        <w:rPr>
          <w:rFonts w:ascii="Arial" w:hAnsi="Arial" w:cs="Arial"/>
          <w:color w:val="auto"/>
          <w:kern w:val="0"/>
          <w:sz w:val="22"/>
          <w:szCs w:val="22"/>
        </w:rPr>
        <w:t>Users should note that</w:t>
      </w:r>
      <w:r>
        <w:rPr>
          <w:rFonts w:ascii="Arial" w:hAnsi="Arial" w:cs="Arial"/>
          <w:color w:val="auto"/>
          <w:kern w:val="0"/>
          <w:sz w:val="22"/>
          <w:szCs w:val="22"/>
        </w:rPr>
        <w:t xml:space="preserve"> from approximately 2014/15</w:t>
      </w:r>
      <w:r w:rsidRPr="00360653">
        <w:rPr>
          <w:rFonts w:ascii="Arial" w:hAnsi="Arial" w:cs="Arial"/>
          <w:color w:val="auto"/>
          <w:kern w:val="0"/>
          <w:sz w:val="22"/>
          <w:szCs w:val="22"/>
        </w:rPr>
        <w:t xml:space="preserve"> the intimidation category </w:t>
      </w:r>
      <w:r>
        <w:rPr>
          <w:rFonts w:ascii="Arial" w:hAnsi="Arial" w:cs="Arial"/>
          <w:color w:val="auto"/>
          <w:kern w:val="0"/>
          <w:sz w:val="22"/>
          <w:szCs w:val="22"/>
        </w:rPr>
        <w:t>was</w:t>
      </w:r>
      <w:r w:rsidRPr="00360653">
        <w:rPr>
          <w:rFonts w:ascii="Arial" w:hAnsi="Arial" w:cs="Arial"/>
          <w:color w:val="auto"/>
          <w:kern w:val="0"/>
          <w:sz w:val="22"/>
          <w:szCs w:val="22"/>
        </w:rPr>
        <w:t xml:space="preserve"> renamed from ‘intimidation (civil disturbance)’.  However, the data definition </w:t>
      </w:r>
      <w:r>
        <w:rPr>
          <w:rFonts w:ascii="Arial" w:hAnsi="Arial" w:cs="Arial"/>
          <w:color w:val="auto"/>
          <w:kern w:val="0"/>
          <w:sz w:val="22"/>
          <w:szCs w:val="22"/>
        </w:rPr>
        <w:t>did</w:t>
      </w:r>
      <w:r w:rsidRPr="00360653">
        <w:rPr>
          <w:rFonts w:ascii="Arial" w:hAnsi="Arial" w:cs="Arial"/>
          <w:color w:val="auto"/>
          <w:kern w:val="0"/>
          <w:sz w:val="22"/>
          <w:szCs w:val="22"/>
        </w:rPr>
        <w:t xml:space="preserve"> not change. The intimidation category includes those intimidated due to anti-social behaviour, paramilitarism, sectarianism, racial abuse, sexual orientation or disability.</w:t>
      </w:r>
    </w:p>
    <w:bookmarkEnd w:id="0"/>
    <w:bookmarkEnd w:id="1"/>
    <w:p w14:paraId="2B594B4E" w14:textId="77777777" w:rsidR="00D67F55" w:rsidRPr="00360653" w:rsidRDefault="00D67F55" w:rsidP="00D67F55">
      <w:pPr>
        <w:jc w:val="both"/>
        <w:rPr>
          <w:rFonts w:ascii="Arial" w:hAnsi="Arial" w:cs="Arial"/>
          <w:color w:val="auto"/>
          <w:kern w:val="0"/>
          <w:sz w:val="22"/>
          <w:szCs w:val="22"/>
          <w:u w:val="single"/>
        </w:rPr>
      </w:pPr>
    </w:p>
    <w:p w14:paraId="1BAAAB48" w14:textId="77777777" w:rsidR="00D67F55" w:rsidRPr="00360653" w:rsidRDefault="00D67F55" w:rsidP="00D67F55">
      <w:pPr>
        <w:jc w:val="both"/>
        <w:rPr>
          <w:rFonts w:ascii="Arial" w:hAnsi="Arial" w:cs="Arial"/>
          <w:color w:val="auto"/>
          <w:kern w:val="0"/>
          <w:sz w:val="22"/>
          <w:szCs w:val="22"/>
          <w:u w:val="single"/>
        </w:rPr>
      </w:pPr>
      <w:r>
        <w:rPr>
          <w:rFonts w:ascii="Arial" w:hAnsi="Arial" w:cs="Arial"/>
          <w:color w:val="auto"/>
          <w:kern w:val="0"/>
          <w:sz w:val="22"/>
          <w:szCs w:val="22"/>
          <w:u w:val="single"/>
        </w:rPr>
        <w:t>Table 2.5</w:t>
      </w:r>
    </w:p>
    <w:p w14:paraId="7D79A89E" w14:textId="77777777" w:rsidR="00D67F55" w:rsidRPr="00360653" w:rsidRDefault="00D67F55" w:rsidP="00D67F55">
      <w:pPr>
        <w:jc w:val="both"/>
        <w:rPr>
          <w:rFonts w:ascii="Arial" w:hAnsi="Arial" w:cs="Arial"/>
          <w:color w:val="auto"/>
          <w:kern w:val="0"/>
          <w:sz w:val="22"/>
          <w:szCs w:val="22"/>
        </w:rPr>
      </w:pPr>
      <w:r w:rsidRPr="00360653">
        <w:rPr>
          <w:rFonts w:ascii="Arial" w:hAnsi="Arial" w:cs="Arial"/>
          <w:iCs/>
          <w:color w:val="auto"/>
          <w:kern w:val="0"/>
          <w:sz w:val="22"/>
          <w:szCs w:val="22"/>
        </w:rPr>
        <w:t>Data from July 2011 onwards are not directly comparable with previous figures</w:t>
      </w:r>
      <w:r w:rsidRPr="00360653">
        <w:rPr>
          <w:rFonts w:ascii="Arial" w:hAnsi="Arial" w:cs="Arial"/>
          <w:color w:val="auto"/>
          <w:kern w:val="0"/>
          <w:sz w:val="22"/>
          <w:szCs w:val="22"/>
        </w:rPr>
        <w:t xml:space="preserve">. The Housing Management System (HMS) went live in July 2011, replacing the previous ‘PRAWL’ information management system. While the data captured through the HMS are essentially the same as those captured by the PRAWL system, data migration and coding variations in the period following the change of systems have had a small impact on the comparability of homelessness statistics. Hence figures </w:t>
      </w:r>
      <w:r w:rsidRPr="00360653">
        <w:rPr>
          <w:rFonts w:ascii="Arial" w:hAnsi="Arial" w:cs="Arial"/>
          <w:iCs/>
          <w:color w:val="auto"/>
          <w:kern w:val="0"/>
          <w:sz w:val="22"/>
          <w:szCs w:val="22"/>
        </w:rPr>
        <w:t>from July 2011 onwards</w:t>
      </w:r>
      <w:r w:rsidRPr="00360653">
        <w:rPr>
          <w:rFonts w:ascii="Arial" w:hAnsi="Arial" w:cs="Arial"/>
          <w:color w:val="auto"/>
          <w:kern w:val="0"/>
          <w:sz w:val="22"/>
          <w:szCs w:val="22"/>
        </w:rPr>
        <w:t xml:space="preserve"> are not directly comparable with those reported in previous years.  Users should note that in 2016/17 the mid-year introduction of an additional field in HMS for staff to record presenting reason had an impact on the specification of statistical reports.  This resulted in some data issues at year</w:t>
      </w:r>
      <w:r>
        <w:rPr>
          <w:rFonts w:ascii="Arial" w:hAnsi="Arial" w:cs="Arial"/>
          <w:color w:val="auto"/>
          <w:kern w:val="0"/>
          <w:sz w:val="22"/>
          <w:szCs w:val="22"/>
        </w:rPr>
        <w:t xml:space="preserve"> </w:t>
      </w:r>
      <w:r w:rsidRPr="00360653">
        <w:rPr>
          <w:rFonts w:ascii="Arial" w:hAnsi="Arial" w:cs="Arial"/>
          <w:color w:val="auto"/>
          <w:kern w:val="0"/>
          <w:sz w:val="22"/>
          <w:szCs w:val="22"/>
        </w:rPr>
        <w:t>end which included an increase in the 'no data' category.  We will continue to monitor the reports going forward.</w:t>
      </w:r>
    </w:p>
    <w:p w14:paraId="3F46AFD5" w14:textId="77777777" w:rsidR="00D67F55" w:rsidRPr="00360653" w:rsidRDefault="00D67F55" w:rsidP="00D67F55">
      <w:pPr>
        <w:jc w:val="both"/>
        <w:rPr>
          <w:rFonts w:ascii="Arial" w:hAnsi="Arial" w:cs="Arial"/>
          <w:color w:val="auto"/>
          <w:kern w:val="0"/>
          <w:sz w:val="22"/>
          <w:szCs w:val="22"/>
          <w:u w:val="single"/>
        </w:rPr>
      </w:pPr>
    </w:p>
    <w:p w14:paraId="15D450BA" w14:textId="77777777" w:rsidR="00D67F55" w:rsidRPr="00360653" w:rsidRDefault="00D67F55" w:rsidP="00D67F55">
      <w:pPr>
        <w:jc w:val="both"/>
        <w:rPr>
          <w:rFonts w:ascii="Arial" w:hAnsi="Arial" w:cs="Arial"/>
          <w:color w:val="auto"/>
          <w:kern w:val="0"/>
          <w:sz w:val="22"/>
          <w:szCs w:val="22"/>
          <w:u w:val="single"/>
        </w:rPr>
      </w:pPr>
      <w:r>
        <w:rPr>
          <w:rFonts w:ascii="Arial" w:hAnsi="Arial" w:cs="Arial"/>
          <w:color w:val="auto"/>
          <w:kern w:val="0"/>
          <w:sz w:val="22"/>
          <w:szCs w:val="22"/>
          <w:u w:val="single"/>
        </w:rPr>
        <w:t>Table 2.6</w:t>
      </w:r>
    </w:p>
    <w:p w14:paraId="0D29BAF4" w14:textId="77777777" w:rsidR="00D67F55" w:rsidRPr="00360653" w:rsidRDefault="00D67F55" w:rsidP="00D67F55">
      <w:pPr>
        <w:jc w:val="both"/>
        <w:rPr>
          <w:rFonts w:ascii="Arial" w:hAnsi="Arial" w:cs="Arial"/>
          <w:color w:val="auto"/>
          <w:kern w:val="0"/>
          <w:sz w:val="22"/>
          <w:szCs w:val="22"/>
        </w:rPr>
      </w:pPr>
      <w:r w:rsidRPr="00360653">
        <w:rPr>
          <w:rFonts w:ascii="Arial" w:hAnsi="Arial" w:cs="Arial"/>
          <w:iCs/>
          <w:color w:val="auto"/>
          <w:kern w:val="0"/>
          <w:sz w:val="22"/>
          <w:szCs w:val="22"/>
        </w:rPr>
        <w:t xml:space="preserve">Data from July 2011 onwards are not directly comparable with previous figures due to the introduction of the new computer-based Housing Management System and the change in outcomes of homeless applications. Prior to the introduction of the new system </w:t>
      </w:r>
      <w:r w:rsidRPr="00360653">
        <w:rPr>
          <w:rFonts w:ascii="Arial" w:hAnsi="Arial" w:cs="Arial"/>
          <w:color w:val="auto"/>
          <w:kern w:val="0"/>
          <w:sz w:val="22"/>
          <w:szCs w:val="22"/>
        </w:rPr>
        <w:t xml:space="preserve">three outcomes for homeless applications were recorded: ‘awarded priority status’, ‘not homeless’, and ‘homeless but not awarded priority status’. The new system allows a fuller range of potential outcomes – eight in total – to be recorded of which ‘accepted as full duty applicant’ is one. </w:t>
      </w:r>
      <w:r>
        <w:rPr>
          <w:rFonts w:ascii="Arial" w:hAnsi="Arial" w:cs="Arial"/>
          <w:iCs/>
          <w:color w:val="auto"/>
          <w:kern w:val="0"/>
          <w:sz w:val="22"/>
          <w:szCs w:val="22"/>
        </w:rPr>
        <w:t>Table 2.6</w:t>
      </w:r>
      <w:r w:rsidRPr="00360653">
        <w:rPr>
          <w:rFonts w:ascii="Arial" w:hAnsi="Arial" w:cs="Arial"/>
          <w:iCs/>
          <w:color w:val="auto"/>
          <w:kern w:val="0"/>
          <w:sz w:val="22"/>
          <w:szCs w:val="22"/>
        </w:rPr>
        <w:t xml:space="preserve"> previously included a breakdown of the ’awarded priority status’ outcome and now includes a breakdown of the ‘a</w:t>
      </w:r>
      <w:r w:rsidRPr="00360653">
        <w:rPr>
          <w:rFonts w:ascii="Arial" w:hAnsi="Arial" w:cs="Arial"/>
          <w:color w:val="auto"/>
          <w:kern w:val="0"/>
          <w:sz w:val="22"/>
          <w:szCs w:val="22"/>
        </w:rPr>
        <w:t>ccepted as full duty applicant’ outcome.</w:t>
      </w:r>
    </w:p>
    <w:p w14:paraId="14F5CBC7" w14:textId="77777777" w:rsidR="00D67F55" w:rsidRPr="00360653" w:rsidRDefault="00D67F55" w:rsidP="00D67F55">
      <w:pPr>
        <w:jc w:val="both"/>
        <w:rPr>
          <w:rFonts w:ascii="Arial" w:hAnsi="Arial" w:cs="Arial"/>
          <w:color w:val="auto"/>
          <w:kern w:val="0"/>
          <w:sz w:val="22"/>
          <w:szCs w:val="22"/>
        </w:rPr>
      </w:pPr>
    </w:p>
    <w:p w14:paraId="3497606B" w14:textId="77777777" w:rsidR="00D67F55" w:rsidRPr="00360653" w:rsidRDefault="00D67F55" w:rsidP="00D67F55">
      <w:pPr>
        <w:jc w:val="both"/>
        <w:rPr>
          <w:rFonts w:ascii="Arial" w:hAnsi="Arial" w:cs="Arial"/>
          <w:color w:val="auto"/>
          <w:kern w:val="0"/>
          <w:sz w:val="22"/>
          <w:szCs w:val="22"/>
        </w:rPr>
      </w:pPr>
      <w:r w:rsidRPr="00360653">
        <w:rPr>
          <w:rFonts w:ascii="Arial" w:hAnsi="Arial" w:cs="Arial"/>
          <w:color w:val="auto"/>
          <w:kern w:val="0"/>
          <w:sz w:val="22"/>
          <w:szCs w:val="22"/>
        </w:rPr>
        <w:t xml:space="preserve">While the strict meaning of ‘accepted as full duty applicant’ is essentially the same as ‘awarded priority status’, the greater range of potential outcomes means that it may be misleading to </w:t>
      </w:r>
      <w:r w:rsidRPr="00360653">
        <w:rPr>
          <w:rFonts w:ascii="Arial" w:hAnsi="Arial" w:cs="Arial"/>
          <w:color w:val="auto"/>
          <w:kern w:val="0"/>
          <w:sz w:val="22"/>
          <w:szCs w:val="22"/>
        </w:rPr>
        <w:lastRenderedPageBreak/>
        <w:t>make direct comparisons between the published figures from July 2011 onwards and those for previous years/quarters.</w:t>
      </w:r>
    </w:p>
    <w:p w14:paraId="2E5ABB85" w14:textId="77777777" w:rsidR="00D67F55" w:rsidRPr="00360653" w:rsidRDefault="00D67F55" w:rsidP="00D67F55">
      <w:pPr>
        <w:jc w:val="both"/>
        <w:rPr>
          <w:rFonts w:ascii="Arial" w:hAnsi="Arial" w:cs="Arial"/>
          <w:color w:val="auto"/>
          <w:kern w:val="0"/>
          <w:sz w:val="22"/>
          <w:szCs w:val="22"/>
        </w:rPr>
      </w:pPr>
    </w:p>
    <w:p w14:paraId="69D89E34" w14:textId="77777777" w:rsidR="00D67F55" w:rsidRPr="00360653" w:rsidRDefault="00D67F55" w:rsidP="00D67F55">
      <w:pPr>
        <w:shd w:val="clear" w:color="auto" w:fill="FFFFFF"/>
        <w:jc w:val="both"/>
        <w:rPr>
          <w:rFonts w:ascii="Arial" w:hAnsi="Arial" w:cs="Arial"/>
          <w:color w:val="auto"/>
          <w:kern w:val="0"/>
          <w:sz w:val="22"/>
          <w:szCs w:val="22"/>
        </w:rPr>
      </w:pPr>
      <w:r w:rsidRPr="00360653">
        <w:rPr>
          <w:rFonts w:ascii="Arial" w:hAnsi="Arial" w:cs="Arial"/>
          <w:color w:val="auto"/>
          <w:kern w:val="0"/>
          <w:sz w:val="22"/>
          <w:szCs w:val="22"/>
        </w:rPr>
        <w:t>Homeless figures for the period April 2010 to June 2011 include</w:t>
      </w:r>
      <w:r>
        <w:rPr>
          <w:rFonts w:ascii="Arial" w:hAnsi="Arial" w:cs="Arial"/>
          <w:color w:val="auto"/>
          <w:kern w:val="0"/>
          <w:sz w:val="22"/>
          <w:szCs w:val="22"/>
        </w:rPr>
        <w:t>d</w:t>
      </w:r>
      <w:r w:rsidRPr="00360653">
        <w:rPr>
          <w:rFonts w:ascii="Arial" w:hAnsi="Arial" w:cs="Arial"/>
          <w:color w:val="auto"/>
          <w:kern w:val="0"/>
          <w:sz w:val="22"/>
          <w:szCs w:val="22"/>
        </w:rPr>
        <w:t xml:space="preserve"> those Homeless Households accepted as Full Duty Applicants who were subsequently discharged. </w:t>
      </w:r>
      <w:r w:rsidRPr="00360653">
        <w:rPr>
          <w:rFonts w:ascii="Arial" w:hAnsi="Arial" w:cs="Arial"/>
          <w:color w:val="000000"/>
          <w:kern w:val="0"/>
          <w:sz w:val="22"/>
          <w:szCs w:val="22"/>
        </w:rPr>
        <w:t>Following the introduction of the new Housing Management System (HMS)</w:t>
      </w:r>
      <w:r>
        <w:rPr>
          <w:rFonts w:ascii="Arial" w:hAnsi="Arial" w:cs="Arial"/>
          <w:color w:val="000000"/>
          <w:kern w:val="0"/>
          <w:sz w:val="22"/>
          <w:szCs w:val="22"/>
        </w:rPr>
        <w:t>,</w:t>
      </w:r>
      <w:r w:rsidRPr="00360653">
        <w:rPr>
          <w:rFonts w:ascii="Arial" w:hAnsi="Arial" w:cs="Arial"/>
          <w:color w:val="000000"/>
          <w:kern w:val="0"/>
          <w:sz w:val="22"/>
          <w:szCs w:val="22"/>
        </w:rPr>
        <w:t xml:space="preserve"> however</w:t>
      </w:r>
      <w:r>
        <w:rPr>
          <w:rFonts w:ascii="Arial" w:hAnsi="Arial" w:cs="Arial"/>
          <w:color w:val="000000"/>
          <w:kern w:val="0"/>
          <w:sz w:val="22"/>
          <w:szCs w:val="22"/>
        </w:rPr>
        <w:t>,</w:t>
      </w:r>
      <w:r w:rsidRPr="00360653">
        <w:rPr>
          <w:rFonts w:ascii="Arial" w:hAnsi="Arial" w:cs="Arial"/>
          <w:color w:val="000000"/>
          <w:kern w:val="0"/>
          <w:sz w:val="22"/>
          <w:szCs w:val="22"/>
        </w:rPr>
        <w:t xml:space="preserve"> discharged cases were not included in figures for July 2011 onwards in reports prior to the January – March 2013 bulletin. F</w:t>
      </w:r>
      <w:r w:rsidRPr="00360653">
        <w:rPr>
          <w:rFonts w:ascii="Arial" w:hAnsi="Arial" w:cs="Arial"/>
          <w:color w:val="auto"/>
          <w:kern w:val="0"/>
          <w:sz w:val="22"/>
          <w:szCs w:val="22"/>
        </w:rPr>
        <w:t>igures for 2012-13 onwards include those Full Duty Applicants who were subsequently discharged.</w:t>
      </w:r>
    </w:p>
    <w:p w14:paraId="363A1645" w14:textId="77777777" w:rsidR="00D67F55" w:rsidRPr="00360653" w:rsidRDefault="00D67F55" w:rsidP="00D67F55">
      <w:pPr>
        <w:shd w:val="clear" w:color="auto" w:fill="FFFFFF"/>
        <w:jc w:val="both"/>
        <w:rPr>
          <w:rFonts w:ascii="Arial" w:hAnsi="Arial" w:cs="Arial"/>
          <w:color w:val="auto"/>
          <w:kern w:val="0"/>
          <w:sz w:val="22"/>
          <w:szCs w:val="22"/>
        </w:rPr>
      </w:pPr>
    </w:p>
    <w:p w14:paraId="6D7525B0" w14:textId="77777777" w:rsidR="00D67F55" w:rsidRDefault="00D67F55" w:rsidP="00D67F55">
      <w:pPr>
        <w:jc w:val="both"/>
        <w:rPr>
          <w:rFonts w:ascii="Arial" w:hAnsi="Arial" w:cs="Arial"/>
          <w:color w:val="auto"/>
          <w:kern w:val="0"/>
          <w:sz w:val="22"/>
          <w:szCs w:val="22"/>
        </w:rPr>
      </w:pPr>
      <w:r w:rsidRPr="00360653">
        <w:rPr>
          <w:rFonts w:ascii="Arial" w:hAnsi="Arial" w:cs="Arial"/>
          <w:color w:val="auto"/>
          <w:kern w:val="0"/>
          <w:sz w:val="22"/>
          <w:szCs w:val="22"/>
        </w:rPr>
        <w:t xml:space="preserve">Users should note that the intimidation category has been renamed from ‘intimidation (civil disturbance)’.  However, the data definition has not changed. The intimidation category includes those intimidated due to anti-social behaviour, paramilitarism, sectarianism, racial abuse, sexual orientation or disability. </w:t>
      </w:r>
    </w:p>
    <w:p w14:paraId="4233BBDC" w14:textId="77777777" w:rsidR="00D67F55" w:rsidRDefault="00D67F55" w:rsidP="00D67F55">
      <w:pPr>
        <w:jc w:val="both"/>
        <w:rPr>
          <w:rFonts w:ascii="Arial" w:hAnsi="Arial" w:cs="Arial"/>
          <w:color w:val="auto"/>
          <w:kern w:val="0"/>
          <w:sz w:val="22"/>
          <w:szCs w:val="22"/>
        </w:rPr>
      </w:pPr>
    </w:p>
    <w:p w14:paraId="55BAC88D" w14:textId="77777777" w:rsidR="00D67F55" w:rsidRPr="00360653" w:rsidRDefault="00D67F55" w:rsidP="00D67F55">
      <w:pPr>
        <w:jc w:val="both"/>
        <w:rPr>
          <w:rFonts w:ascii="Arial" w:hAnsi="Arial" w:cs="Arial"/>
          <w:color w:val="auto"/>
          <w:kern w:val="0"/>
          <w:sz w:val="22"/>
          <w:szCs w:val="22"/>
          <w:u w:val="single"/>
        </w:rPr>
      </w:pPr>
      <w:r>
        <w:rPr>
          <w:rFonts w:ascii="Arial" w:hAnsi="Arial" w:cs="Arial"/>
          <w:color w:val="auto"/>
          <w:kern w:val="0"/>
          <w:sz w:val="22"/>
          <w:szCs w:val="22"/>
          <w:u w:val="single"/>
        </w:rPr>
        <w:t>Table 2.7</w:t>
      </w:r>
    </w:p>
    <w:p w14:paraId="79ACBD0F" w14:textId="77777777" w:rsidR="00D67F55" w:rsidRDefault="00D67F55" w:rsidP="00D67F55">
      <w:pPr>
        <w:jc w:val="both"/>
        <w:rPr>
          <w:rFonts w:ascii="Arial" w:hAnsi="Arial" w:cs="Arial"/>
          <w:color w:val="auto"/>
          <w:kern w:val="0"/>
          <w:sz w:val="22"/>
          <w:szCs w:val="22"/>
        </w:rPr>
      </w:pPr>
      <w:r w:rsidRPr="00360653">
        <w:rPr>
          <w:rFonts w:ascii="Arial" w:hAnsi="Arial" w:cs="Arial"/>
          <w:iCs/>
          <w:color w:val="auto"/>
          <w:kern w:val="0"/>
          <w:sz w:val="22"/>
          <w:szCs w:val="22"/>
        </w:rPr>
        <w:t xml:space="preserve">Data from July 2011 onwards are not directly comparable with previous figures due to the introduction of the new computer-based Housing Management System and the change in outcomes of homeless applications. Prior to the introduction of the new system </w:t>
      </w:r>
      <w:r w:rsidRPr="00360653">
        <w:rPr>
          <w:rFonts w:ascii="Arial" w:hAnsi="Arial" w:cs="Arial"/>
          <w:color w:val="auto"/>
          <w:kern w:val="0"/>
          <w:sz w:val="22"/>
          <w:szCs w:val="22"/>
        </w:rPr>
        <w:t>three outcomes for homeless applications were recorded: ‘awarded priority status’, ‘not homeless’, and ‘homeless but not awarded priority status’. The new system allows a fuller range of potential outcomes – eight in total – to be recorded of which ‘accepted as full duty applicant’ is one.</w:t>
      </w:r>
    </w:p>
    <w:p w14:paraId="72DDE19B" w14:textId="77777777" w:rsidR="00D67F55" w:rsidRDefault="00D67F55" w:rsidP="00D67F55">
      <w:pPr>
        <w:jc w:val="both"/>
        <w:rPr>
          <w:rFonts w:ascii="Arial" w:hAnsi="Arial" w:cs="Arial"/>
          <w:color w:val="auto"/>
          <w:kern w:val="0"/>
          <w:sz w:val="22"/>
          <w:szCs w:val="22"/>
        </w:rPr>
      </w:pPr>
    </w:p>
    <w:p w14:paraId="4524EC92" w14:textId="77777777" w:rsidR="00D67F55" w:rsidRPr="00360653" w:rsidRDefault="00D67F55" w:rsidP="00D67F55">
      <w:pPr>
        <w:jc w:val="both"/>
        <w:rPr>
          <w:rFonts w:ascii="Arial" w:hAnsi="Arial" w:cs="Arial"/>
          <w:color w:val="auto"/>
          <w:kern w:val="0"/>
          <w:sz w:val="22"/>
          <w:szCs w:val="22"/>
        </w:rPr>
      </w:pPr>
      <w:r w:rsidRPr="00360653">
        <w:rPr>
          <w:rFonts w:ascii="Arial" w:hAnsi="Arial" w:cs="Arial"/>
          <w:color w:val="auto"/>
          <w:kern w:val="0"/>
          <w:sz w:val="22"/>
          <w:szCs w:val="22"/>
        </w:rPr>
        <w:t>While the strict meaning of ‘accepted as full duty applicant’ is essentially the same as ‘awarded priority status’, the greater range of potential outcomes means that it may be misleading to make direct comparisons between the published figures from July 2011 onwards and those for previous years/quarters.</w:t>
      </w:r>
    </w:p>
    <w:p w14:paraId="34948138" w14:textId="77777777" w:rsidR="00D67F55" w:rsidRPr="00360653" w:rsidRDefault="00D67F55" w:rsidP="00D67F55">
      <w:pPr>
        <w:jc w:val="both"/>
        <w:rPr>
          <w:rFonts w:ascii="Arial" w:hAnsi="Arial" w:cs="Arial"/>
          <w:color w:val="auto"/>
          <w:kern w:val="0"/>
          <w:sz w:val="22"/>
          <w:szCs w:val="22"/>
        </w:rPr>
      </w:pPr>
    </w:p>
    <w:p w14:paraId="402E1590" w14:textId="77777777" w:rsidR="00D67F55" w:rsidRPr="00360653" w:rsidRDefault="00D67F55" w:rsidP="00D67F55">
      <w:pPr>
        <w:shd w:val="clear" w:color="auto" w:fill="FFFFFF"/>
        <w:jc w:val="both"/>
        <w:rPr>
          <w:rFonts w:ascii="Arial" w:hAnsi="Arial" w:cs="Arial"/>
          <w:color w:val="auto"/>
          <w:kern w:val="0"/>
          <w:sz w:val="22"/>
          <w:szCs w:val="22"/>
        </w:rPr>
      </w:pPr>
      <w:r w:rsidRPr="00360653">
        <w:rPr>
          <w:rFonts w:ascii="Arial" w:hAnsi="Arial" w:cs="Arial"/>
          <w:color w:val="auto"/>
          <w:kern w:val="0"/>
          <w:sz w:val="22"/>
          <w:szCs w:val="22"/>
        </w:rPr>
        <w:t xml:space="preserve">Homeless figures for the period April 2010 to June 2011 include those Homeless Households accepted as Full Duty Applicants who were subsequently discharged. </w:t>
      </w:r>
      <w:r w:rsidRPr="00360653">
        <w:rPr>
          <w:rFonts w:ascii="Arial" w:hAnsi="Arial" w:cs="Arial"/>
          <w:color w:val="000000"/>
          <w:kern w:val="0"/>
          <w:sz w:val="22"/>
          <w:szCs w:val="22"/>
        </w:rPr>
        <w:t>Following the introduction of the new Housing Management System (HMS) however discharged cases were not included in figures for July 2011 onwards in reports prior to the January – March 2013 bulletin. F</w:t>
      </w:r>
      <w:r w:rsidRPr="00360653">
        <w:rPr>
          <w:rFonts w:ascii="Arial" w:hAnsi="Arial" w:cs="Arial"/>
          <w:color w:val="auto"/>
          <w:kern w:val="0"/>
          <w:sz w:val="22"/>
          <w:szCs w:val="22"/>
        </w:rPr>
        <w:t>igures for 2012-13 onwards include those Full Duty Applicants who were subsequently discharged.</w:t>
      </w:r>
    </w:p>
    <w:p w14:paraId="42FE1572" w14:textId="77777777" w:rsidR="00D67F55" w:rsidRPr="00360653" w:rsidRDefault="00D67F55" w:rsidP="00D67F55">
      <w:pPr>
        <w:shd w:val="clear" w:color="auto" w:fill="FFFFFF"/>
        <w:jc w:val="both"/>
        <w:rPr>
          <w:rFonts w:ascii="Arial" w:hAnsi="Arial" w:cs="Arial"/>
          <w:color w:val="auto"/>
          <w:kern w:val="0"/>
          <w:sz w:val="22"/>
          <w:szCs w:val="22"/>
        </w:rPr>
      </w:pPr>
    </w:p>
    <w:p w14:paraId="288991FA" w14:textId="77777777" w:rsidR="00D67F55" w:rsidRPr="00360653" w:rsidRDefault="00D67F55" w:rsidP="00D67F55">
      <w:pPr>
        <w:jc w:val="both"/>
        <w:rPr>
          <w:rFonts w:ascii="Arial" w:hAnsi="Arial" w:cs="Arial"/>
          <w:color w:val="auto"/>
          <w:kern w:val="0"/>
          <w:sz w:val="22"/>
          <w:szCs w:val="22"/>
        </w:rPr>
      </w:pPr>
      <w:r w:rsidRPr="00360653">
        <w:rPr>
          <w:rFonts w:ascii="Arial" w:hAnsi="Arial" w:cs="Arial"/>
          <w:color w:val="auto"/>
          <w:kern w:val="0"/>
          <w:sz w:val="22"/>
          <w:szCs w:val="22"/>
        </w:rPr>
        <w:t>It has not been possible to revise figures for the last 3 quarters of 2011-12 and hence the overall total for that year due to the introduction of the new HMS and keying variations. Due to this inconsistency in the time series, figures for 2011-12 are not directly comparable with other years.</w:t>
      </w:r>
    </w:p>
    <w:p w14:paraId="40B1FC50" w14:textId="77777777" w:rsidR="00D67F55" w:rsidRPr="00360653" w:rsidRDefault="00D67F55" w:rsidP="00D67F55">
      <w:pPr>
        <w:ind w:left="709"/>
        <w:jc w:val="both"/>
        <w:rPr>
          <w:rFonts w:ascii="Arial" w:hAnsi="Arial" w:cs="Arial"/>
          <w:color w:val="auto"/>
          <w:kern w:val="0"/>
          <w:sz w:val="22"/>
          <w:szCs w:val="22"/>
        </w:rPr>
      </w:pPr>
    </w:p>
    <w:p w14:paraId="07295066" w14:textId="77777777" w:rsidR="00D67F55" w:rsidRDefault="00D67F55" w:rsidP="00D67F55">
      <w:pPr>
        <w:jc w:val="both"/>
        <w:rPr>
          <w:rFonts w:ascii="Arial" w:hAnsi="Arial" w:cs="Arial"/>
          <w:color w:val="auto"/>
          <w:kern w:val="0"/>
          <w:sz w:val="22"/>
          <w:szCs w:val="22"/>
        </w:rPr>
      </w:pPr>
      <w:r w:rsidRPr="00360653">
        <w:rPr>
          <w:rFonts w:ascii="Arial" w:hAnsi="Arial" w:cs="Arial"/>
          <w:color w:val="auto"/>
          <w:kern w:val="0"/>
          <w:sz w:val="22"/>
          <w:szCs w:val="22"/>
        </w:rPr>
        <w:t>Homelessness data from other parts of the UK can be accessed using the following links:</w:t>
      </w:r>
    </w:p>
    <w:p w14:paraId="56FE0988" w14:textId="77777777" w:rsidR="00D67F55" w:rsidRPr="00360653" w:rsidRDefault="00D67F55" w:rsidP="00D67F55">
      <w:pPr>
        <w:jc w:val="both"/>
        <w:rPr>
          <w:rFonts w:ascii="Arial" w:hAnsi="Arial" w:cs="Arial"/>
          <w:color w:val="auto"/>
          <w:kern w:val="0"/>
          <w:sz w:val="22"/>
          <w:szCs w:val="22"/>
        </w:rPr>
      </w:pPr>
    </w:p>
    <w:p w14:paraId="6AC09440" w14:textId="77777777" w:rsidR="00D67F55" w:rsidRPr="00360653" w:rsidRDefault="00D67F55" w:rsidP="00D67F55">
      <w:pPr>
        <w:ind w:firstLine="720"/>
        <w:jc w:val="both"/>
        <w:rPr>
          <w:rFonts w:ascii="Arial" w:hAnsi="Arial" w:cs="Arial"/>
          <w:color w:val="auto"/>
          <w:kern w:val="0"/>
          <w:sz w:val="22"/>
          <w:szCs w:val="22"/>
        </w:rPr>
      </w:pPr>
      <w:r w:rsidRPr="00360653">
        <w:rPr>
          <w:rFonts w:ascii="Arial" w:hAnsi="Arial" w:cs="Arial"/>
          <w:color w:val="auto"/>
          <w:kern w:val="0"/>
          <w:sz w:val="22"/>
          <w:szCs w:val="22"/>
        </w:rPr>
        <w:t xml:space="preserve">England: </w:t>
      </w:r>
      <w:hyperlink r:id="rId17" w:history="1">
        <w:r>
          <w:rPr>
            <w:rFonts w:ascii="Arial" w:hAnsi="Arial" w:cs="Arial"/>
            <w:color w:val="0000FF"/>
            <w:kern w:val="0"/>
            <w:sz w:val="22"/>
            <w:szCs w:val="22"/>
            <w:u w:val="single"/>
          </w:rPr>
          <w:t>England Homelessness Statistics</w:t>
        </w:r>
      </w:hyperlink>
      <w:r w:rsidRPr="00360653">
        <w:rPr>
          <w:color w:val="0000FF"/>
          <w:kern w:val="0"/>
          <w:sz w:val="22"/>
          <w:szCs w:val="22"/>
          <w:u w:val="single"/>
        </w:rPr>
        <w:t>.</w:t>
      </w:r>
    </w:p>
    <w:p w14:paraId="79044007" w14:textId="77777777" w:rsidR="00D67F55" w:rsidRPr="00360653" w:rsidRDefault="00D67F55" w:rsidP="00D67F55">
      <w:pPr>
        <w:ind w:left="709"/>
        <w:jc w:val="both"/>
        <w:rPr>
          <w:rFonts w:ascii="Arial" w:hAnsi="Arial" w:cs="Arial"/>
          <w:color w:val="auto"/>
          <w:kern w:val="0"/>
          <w:sz w:val="22"/>
          <w:szCs w:val="22"/>
        </w:rPr>
      </w:pPr>
    </w:p>
    <w:p w14:paraId="33193226" w14:textId="77777777" w:rsidR="00D67F55" w:rsidRPr="00360653" w:rsidRDefault="00D67F55" w:rsidP="00D67F55">
      <w:pPr>
        <w:ind w:firstLine="720"/>
        <w:rPr>
          <w:rFonts w:ascii="Arial" w:hAnsi="Arial" w:cs="Arial"/>
          <w:color w:val="auto"/>
          <w:kern w:val="0"/>
          <w:sz w:val="22"/>
          <w:szCs w:val="22"/>
        </w:rPr>
      </w:pPr>
      <w:r w:rsidRPr="00360653">
        <w:rPr>
          <w:rFonts w:ascii="Arial" w:hAnsi="Arial" w:cs="Arial"/>
          <w:color w:val="auto"/>
          <w:kern w:val="0"/>
          <w:sz w:val="22"/>
          <w:szCs w:val="22"/>
        </w:rPr>
        <w:t xml:space="preserve">Scotland: </w:t>
      </w:r>
      <w:hyperlink r:id="rId18" w:history="1">
        <w:r>
          <w:rPr>
            <w:rFonts w:ascii="Arial" w:hAnsi="Arial" w:cs="Arial"/>
            <w:color w:val="0000FF"/>
            <w:kern w:val="0"/>
            <w:sz w:val="22"/>
            <w:szCs w:val="22"/>
            <w:u w:val="single"/>
          </w:rPr>
          <w:t>Scotland Housing Regeneration</w:t>
        </w:r>
      </w:hyperlink>
      <w:r w:rsidRPr="00360653">
        <w:rPr>
          <w:rFonts w:ascii="Arial" w:hAnsi="Arial" w:cs="Arial"/>
          <w:color w:val="0000FF"/>
          <w:kern w:val="0"/>
          <w:sz w:val="22"/>
          <w:szCs w:val="22"/>
        </w:rPr>
        <w:t>.</w:t>
      </w:r>
    </w:p>
    <w:p w14:paraId="68A59AF8" w14:textId="77777777" w:rsidR="00D67F55" w:rsidRPr="00360653" w:rsidRDefault="00D67F55" w:rsidP="00D67F55">
      <w:pPr>
        <w:ind w:left="709"/>
        <w:jc w:val="both"/>
        <w:rPr>
          <w:rFonts w:ascii="Arial" w:hAnsi="Arial" w:cs="Arial"/>
          <w:color w:val="auto"/>
          <w:kern w:val="0"/>
          <w:sz w:val="22"/>
          <w:szCs w:val="22"/>
        </w:rPr>
      </w:pPr>
    </w:p>
    <w:p w14:paraId="3436FAA8" w14:textId="77777777" w:rsidR="00D67F55" w:rsidRDefault="00D67F55" w:rsidP="00D67F55">
      <w:pPr>
        <w:ind w:firstLine="720"/>
        <w:jc w:val="both"/>
        <w:rPr>
          <w:rFonts w:ascii="Arial" w:hAnsi="Arial" w:cs="Arial"/>
          <w:color w:val="0000FF"/>
          <w:kern w:val="0"/>
          <w:sz w:val="22"/>
          <w:szCs w:val="22"/>
          <w:u w:val="single"/>
        </w:rPr>
      </w:pPr>
      <w:r w:rsidRPr="00360653">
        <w:rPr>
          <w:rFonts w:ascii="Arial" w:hAnsi="Arial" w:cs="Arial"/>
          <w:color w:val="auto"/>
          <w:kern w:val="0"/>
          <w:sz w:val="22"/>
          <w:szCs w:val="22"/>
        </w:rPr>
        <w:t xml:space="preserve">Wales: </w:t>
      </w:r>
      <w:hyperlink r:id="rId19" w:history="1">
        <w:r>
          <w:rPr>
            <w:rFonts w:ascii="Arial" w:hAnsi="Arial" w:cs="Arial"/>
            <w:color w:val="0000FF"/>
            <w:kern w:val="0"/>
            <w:sz w:val="22"/>
            <w:szCs w:val="22"/>
            <w:u w:val="single"/>
          </w:rPr>
          <w:t>Wales homelessness statistics and research</w:t>
        </w:r>
      </w:hyperlink>
    </w:p>
    <w:p w14:paraId="3C3ABB59" w14:textId="77777777" w:rsidR="00D67F55" w:rsidRPr="005B164E" w:rsidRDefault="00D67F55" w:rsidP="00D67F55">
      <w:pPr>
        <w:jc w:val="both"/>
        <w:rPr>
          <w:rFonts w:ascii="Arial" w:hAnsi="Arial" w:cs="Arial"/>
          <w:color w:val="0000FF"/>
          <w:kern w:val="0"/>
          <w:sz w:val="22"/>
          <w:szCs w:val="22"/>
          <w:u w:val="single"/>
        </w:rPr>
      </w:pPr>
    </w:p>
    <w:p w14:paraId="343227A4" w14:textId="77777777" w:rsidR="00D67F55" w:rsidRPr="00C649E9" w:rsidRDefault="00D67F55" w:rsidP="00D67F55">
      <w:pPr>
        <w:rPr>
          <w:rFonts w:ascii="Arial" w:eastAsia="Calibri" w:hAnsi="Arial" w:cs="Arial"/>
          <w:color w:val="auto"/>
          <w:sz w:val="22"/>
          <w:szCs w:val="22"/>
          <w:lang w:eastAsia="en-US"/>
        </w:rPr>
      </w:pPr>
    </w:p>
    <w:p w14:paraId="0B45ED61" w14:textId="77777777" w:rsidR="00D67F55" w:rsidRPr="008E3C72" w:rsidRDefault="00D67F55" w:rsidP="00D67F55">
      <w:pPr>
        <w:pStyle w:val="Heading1"/>
        <w:spacing w:after="240"/>
      </w:pPr>
      <w:r w:rsidRPr="00543571">
        <w:lastRenderedPageBreak/>
        <w:t xml:space="preserve">SECTION </w:t>
      </w:r>
      <w:r>
        <w:t xml:space="preserve">3. </w:t>
      </w:r>
      <w:r w:rsidRPr="00543571">
        <w:t>OWNER OCCUPIED HOUSING DEMAND</w:t>
      </w:r>
    </w:p>
    <w:p w14:paraId="14B047C8" w14:textId="77777777" w:rsidR="00D67F55" w:rsidRDefault="00D67F55" w:rsidP="00D67F55">
      <w:pPr>
        <w:pStyle w:val="Heading2"/>
      </w:pPr>
      <w:r>
        <w:t>NHBC New Dwelling Sales and Prices</w:t>
      </w:r>
    </w:p>
    <w:p w14:paraId="49BE7735" w14:textId="77777777" w:rsidR="00D67F55" w:rsidRDefault="00D67F55" w:rsidP="00D67F55">
      <w:pPr>
        <w:spacing w:line="259" w:lineRule="auto"/>
        <w:jc w:val="both"/>
        <w:rPr>
          <w:rFonts w:ascii="Arial" w:eastAsia="Calibri" w:hAnsi="Arial" w:cs="Arial"/>
          <w:color w:val="auto"/>
          <w:kern w:val="0"/>
          <w:sz w:val="22"/>
          <w:szCs w:val="22"/>
          <w:lang w:eastAsia="en-US"/>
        </w:rPr>
      </w:pPr>
    </w:p>
    <w:p w14:paraId="2AF004E5" w14:textId="77777777" w:rsidR="00D67F55" w:rsidRPr="006D217F" w:rsidRDefault="00D67F55" w:rsidP="00D67F55">
      <w:pPr>
        <w:spacing w:after="160" w:line="259" w:lineRule="auto"/>
        <w:jc w:val="both"/>
        <w:rPr>
          <w:rFonts w:ascii="Arial" w:eastAsia="Calibri" w:hAnsi="Arial" w:cs="Arial"/>
          <w:color w:val="auto"/>
          <w:kern w:val="0"/>
          <w:sz w:val="22"/>
          <w:szCs w:val="22"/>
          <w:lang w:eastAsia="en-US"/>
        </w:rPr>
      </w:pPr>
      <w:r w:rsidRPr="006D217F">
        <w:rPr>
          <w:rFonts w:ascii="Arial" w:eastAsia="Calibri" w:hAnsi="Arial" w:cs="Arial"/>
          <w:color w:val="auto"/>
          <w:kern w:val="0"/>
          <w:sz w:val="22"/>
          <w:szCs w:val="22"/>
          <w:lang w:eastAsia="en-US"/>
        </w:rPr>
        <w:t>Data for new house sales and prices is derived from information provided by solicitors to the National House Building Council (NHBC).</w:t>
      </w:r>
    </w:p>
    <w:p w14:paraId="54F89A75" w14:textId="77777777" w:rsidR="00D67F55" w:rsidRPr="006D217F" w:rsidRDefault="00D67F55" w:rsidP="00D67F55">
      <w:pPr>
        <w:spacing w:after="160" w:line="259" w:lineRule="auto"/>
        <w:jc w:val="both"/>
        <w:rPr>
          <w:rFonts w:ascii="Calibri" w:eastAsia="Calibri" w:hAnsi="Calibri"/>
          <w:color w:val="auto"/>
          <w:kern w:val="0"/>
          <w:sz w:val="22"/>
          <w:szCs w:val="22"/>
          <w:lang w:eastAsia="en-US"/>
        </w:rPr>
      </w:pPr>
      <w:r w:rsidRPr="006D217F">
        <w:rPr>
          <w:rFonts w:ascii="Arial" w:eastAsia="Calibri" w:hAnsi="Arial" w:cs="Arial"/>
          <w:color w:val="auto"/>
          <w:kern w:val="0"/>
          <w:sz w:val="22"/>
          <w:szCs w:val="22"/>
          <w:lang w:eastAsia="en-US"/>
        </w:rPr>
        <w:t xml:space="preserve">NHBC’s primary purpose is to help raise standards to protect homeowners. NHBC is an independent non-profit distributing company, reinvesting all resources in further research and work to improve the construction standard of new UK houses for the benefit of homeowners. For more information refer to the following link: </w:t>
      </w:r>
      <w:hyperlink r:id="rId20" w:history="1">
        <w:r w:rsidRPr="006D217F">
          <w:rPr>
            <w:rFonts w:ascii="Arial" w:eastAsia="Calibri" w:hAnsi="Arial" w:cs="Arial"/>
            <w:color w:val="0000FF"/>
            <w:kern w:val="0"/>
            <w:sz w:val="22"/>
            <w:szCs w:val="22"/>
            <w:u w:val="single"/>
            <w:lang w:eastAsia="en-US"/>
          </w:rPr>
          <w:t>NHBC</w:t>
        </w:r>
      </w:hyperlink>
    </w:p>
    <w:p w14:paraId="604A6F77" w14:textId="77777777" w:rsidR="00D67F55" w:rsidRPr="006D217F" w:rsidRDefault="00D67F55" w:rsidP="00D67F55">
      <w:pPr>
        <w:spacing w:after="160" w:line="259" w:lineRule="auto"/>
        <w:rPr>
          <w:rFonts w:ascii="Arial" w:eastAsia="Calibri" w:hAnsi="Arial" w:cs="Arial"/>
          <w:color w:val="auto"/>
          <w:kern w:val="0"/>
          <w:sz w:val="22"/>
          <w:szCs w:val="22"/>
          <w:lang w:eastAsia="en-US"/>
        </w:rPr>
      </w:pPr>
      <w:r w:rsidRPr="006D217F">
        <w:rPr>
          <w:rFonts w:ascii="Arial" w:eastAsia="Calibri" w:hAnsi="Arial" w:cs="Arial"/>
          <w:color w:val="auto"/>
          <w:kern w:val="0"/>
          <w:sz w:val="22"/>
          <w:szCs w:val="22"/>
          <w:lang w:eastAsia="en-US"/>
        </w:rPr>
        <w:t xml:space="preserve">NHBC data relating to other parts of the UK is available from the NHBC Residential Construction Statistics portal which is available by subscription. For further information, please visit </w:t>
      </w:r>
      <w:hyperlink r:id="rId21" w:history="1">
        <w:r w:rsidRPr="006D217F">
          <w:rPr>
            <w:rFonts w:ascii="Arial" w:eastAsia="Calibri" w:hAnsi="Arial" w:cs="Arial"/>
            <w:color w:val="0000FF"/>
            <w:kern w:val="0"/>
            <w:sz w:val="22"/>
            <w:szCs w:val="22"/>
            <w:u w:val="single"/>
            <w:lang w:eastAsia="en-US"/>
          </w:rPr>
          <w:t>NHBC website</w:t>
        </w:r>
      </w:hyperlink>
      <w:r w:rsidRPr="006D217F">
        <w:rPr>
          <w:rFonts w:ascii="Arial" w:eastAsia="Calibri" w:hAnsi="Arial" w:cs="Arial"/>
          <w:color w:val="auto"/>
          <w:kern w:val="0"/>
          <w:sz w:val="22"/>
          <w:szCs w:val="22"/>
          <w:lang w:eastAsia="en-US"/>
        </w:rPr>
        <w:t>.</w:t>
      </w:r>
    </w:p>
    <w:p w14:paraId="22A316D4" w14:textId="77777777" w:rsidR="00D67F55" w:rsidRPr="005D049B" w:rsidRDefault="00D67F55" w:rsidP="00D67F55">
      <w:pPr>
        <w:spacing w:after="160" w:line="259" w:lineRule="auto"/>
        <w:jc w:val="both"/>
        <w:rPr>
          <w:rFonts w:ascii="Arial" w:eastAsia="Calibri" w:hAnsi="Arial" w:cs="Arial"/>
          <w:color w:val="auto"/>
          <w:kern w:val="0"/>
          <w:sz w:val="22"/>
          <w:szCs w:val="22"/>
          <w:lang w:eastAsia="en-US"/>
        </w:rPr>
      </w:pPr>
      <w:r>
        <w:rPr>
          <w:rFonts w:ascii="Arial" w:eastAsia="Calibri" w:hAnsi="Arial" w:cs="Arial"/>
          <w:color w:val="auto"/>
          <w:kern w:val="0"/>
          <w:sz w:val="22"/>
          <w:szCs w:val="22"/>
          <w:lang w:eastAsia="en-US"/>
        </w:rPr>
        <w:t xml:space="preserve">Data on the number of property sales and the average property prices for all verified residential property sales can be found in The Northern Ireland House Price Index, produced by </w:t>
      </w:r>
      <w:hyperlink r:id="rId22" w:history="1">
        <w:r w:rsidRPr="005D049B">
          <w:rPr>
            <w:rStyle w:val="Hyperlink"/>
            <w:rFonts w:ascii="Arial" w:eastAsia="Calibri" w:hAnsi="Arial" w:cs="Arial"/>
            <w:kern w:val="0"/>
            <w:sz w:val="22"/>
            <w:szCs w:val="22"/>
            <w:lang w:eastAsia="en-US"/>
          </w:rPr>
          <w:t>Land and Property Services (LPS).</w:t>
        </w:r>
      </w:hyperlink>
      <w:r>
        <w:rPr>
          <w:rFonts w:ascii="Arial" w:eastAsia="Calibri" w:hAnsi="Arial" w:cs="Arial"/>
          <w:color w:val="auto"/>
          <w:kern w:val="0"/>
          <w:sz w:val="22"/>
          <w:szCs w:val="22"/>
          <w:lang w:eastAsia="en-US"/>
        </w:rPr>
        <w:t xml:space="preserve"> The LPS report provides a measure of change in the price of a standardised residential property sold in Northern Ireland and uses information on </w:t>
      </w:r>
      <w:r>
        <w:rPr>
          <w:rFonts w:ascii="Arial" w:eastAsia="Calibri" w:hAnsi="Arial" w:cs="Arial"/>
          <w:b/>
          <w:bCs/>
          <w:color w:val="auto"/>
          <w:kern w:val="0"/>
          <w:sz w:val="22"/>
          <w:szCs w:val="22"/>
          <w:u w:val="single"/>
          <w:lang w:eastAsia="en-US"/>
        </w:rPr>
        <w:t>all</w:t>
      </w:r>
      <w:r>
        <w:rPr>
          <w:rFonts w:ascii="Arial" w:eastAsia="Calibri" w:hAnsi="Arial" w:cs="Arial"/>
          <w:b/>
          <w:bCs/>
          <w:color w:val="auto"/>
          <w:kern w:val="0"/>
          <w:sz w:val="22"/>
          <w:szCs w:val="22"/>
          <w:lang w:eastAsia="en-US"/>
        </w:rPr>
        <w:t xml:space="preserve"> </w:t>
      </w:r>
      <w:r>
        <w:rPr>
          <w:rFonts w:ascii="Arial" w:eastAsia="Calibri" w:hAnsi="Arial" w:cs="Arial"/>
          <w:color w:val="auto"/>
          <w:kern w:val="0"/>
          <w:sz w:val="22"/>
          <w:szCs w:val="22"/>
          <w:lang w:eastAsia="en-US"/>
        </w:rPr>
        <w:t>verified residential property sales as recorded by His Majesty’s Revenue &amp; Customs (HMRC). The report is updated quarterly and contains information on the average property price and number of sales as well as index value.</w:t>
      </w:r>
    </w:p>
    <w:p w14:paraId="65AF7A63" w14:textId="77777777" w:rsidR="00D67F55" w:rsidRPr="006D217F" w:rsidRDefault="00D67F55" w:rsidP="00D67F55">
      <w:pPr>
        <w:spacing w:after="160" w:line="259" w:lineRule="auto"/>
        <w:jc w:val="both"/>
        <w:rPr>
          <w:rFonts w:ascii="Arial" w:eastAsia="Calibri" w:hAnsi="Arial" w:cs="Arial"/>
          <w:b/>
          <w:color w:val="auto"/>
          <w:kern w:val="0"/>
          <w:sz w:val="22"/>
          <w:szCs w:val="22"/>
          <w:lang w:eastAsia="en-US"/>
        </w:rPr>
      </w:pPr>
      <w:r w:rsidRPr="006D217F">
        <w:rPr>
          <w:rFonts w:ascii="Arial" w:eastAsia="Calibri" w:hAnsi="Arial" w:cs="Arial"/>
          <w:b/>
          <w:color w:val="auto"/>
          <w:kern w:val="0"/>
          <w:sz w:val="22"/>
          <w:szCs w:val="22"/>
          <w:lang w:eastAsia="en-US"/>
        </w:rPr>
        <w:t>Data Quality</w:t>
      </w:r>
    </w:p>
    <w:p w14:paraId="17F70AB9" w14:textId="77777777" w:rsidR="00D67F55" w:rsidRPr="006D217F" w:rsidRDefault="00D67F55" w:rsidP="00D67F55">
      <w:pPr>
        <w:spacing w:after="160" w:line="259" w:lineRule="auto"/>
        <w:jc w:val="both"/>
        <w:rPr>
          <w:rFonts w:ascii="Arial" w:eastAsia="Calibri" w:hAnsi="Arial" w:cs="Arial"/>
          <w:color w:val="auto"/>
          <w:kern w:val="0"/>
          <w:sz w:val="22"/>
          <w:szCs w:val="22"/>
          <w:lang w:eastAsia="en-US"/>
        </w:rPr>
      </w:pPr>
      <w:r w:rsidRPr="006D217F">
        <w:rPr>
          <w:rFonts w:ascii="Arial" w:eastAsia="Calibri" w:hAnsi="Arial" w:cs="Arial"/>
          <w:color w:val="auto"/>
          <w:kern w:val="0"/>
          <w:sz w:val="22"/>
          <w:szCs w:val="22"/>
          <w:lang w:eastAsia="en-US"/>
        </w:rPr>
        <w:t xml:space="preserve">The following quality information relates to tables </w:t>
      </w:r>
      <w:r w:rsidRPr="003D3FE8">
        <w:rPr>
          <w:rFonts w:ascii="Arial" w:eastAsia="Calibri" w:hAnsi="Arial" w:cs="Arial"/>
          <w:color w:val="auto"/>
          <w:kern w:val="0"/>
          <w:sz w:val="22"/>
          <w:szCs w:val="22"/>
          <w:lang w:eastAsia="en-US"/>
        </w:rPr>
        <w:t>3.1 and 3.2</w:t>
      </w:r>
      <w:r w:rsidRPr="006D217F">
        <w:rPr>
          <w:rFonts w:ascii="Arial" w:eastAsia="Calibri" w:hAnsi="Arial" w:cs="Arial"/>
          <w:color w:val="auto"/>
          <w:kern w:val="0"/>
          <w:sz w:val="22"/>
          <w:szCs w:val="22"/>
          <w:lang w:eastAsia="en-US"/>
        </w:rPr>
        <w:t>.</w:t>
      </w:r>
    </w:p>
    <w:p w14:paraId="7B631E1D" w14:textId="77777777" w:rsidR="00D67F55" w:rsidRPr="006D217F" w:rsidRDefault="00D67F55" w:rsidP="00D67F55">
      <w:pPr>
        <w:spacing w:after="160" w:line="259" w:lineRule="auto"/>
        <w:jc w:val="both"/>
        <w:rPr>
          <w:rFonts w:ascii="Arial" w:eastAsia="Calibri" w:hAnsi="Arial" w:cs="Arial"/>
          <w:i/>
          <w:color w:val="auto"/>
          <w:kern w:val="0"/>
          <w:sz w:val="22"/>
          <w:szCs w:val="22"/>
          <w:lang w:eastAsia="en-US"/>
        </w:rPr>
      </w:pPr>
      <w:r w:rsidRPr="006D217F">
        <w:rPr>
          <w:rFonts w:ascii="Arial" w:eastAsia="Calibri" w:hAnsi="Arial" w:cs="Arial"/>
          <w:i/>
          <w:color w:val="auto"/>
          <w:kern w:val="0"/>
          <w:sz w:val="22"/>
          <w:szCs w:val="22"/>
          <w:lang w:eastAsia="en-US"/>
        </w:rPr>
        <w:t>Data</w:t>
      </w:r>
    </w:p>
    <w:p w14:paraId="2487469B" w14:textId="77777777" w:rsidR="00D67F55" w:rsidRPr="006D217F" w:rsidRDefault="00D67F55" w:rsidP="00D67F55">
      <w:pPr>
        <w:spacing w:after="160" w:line="259" w:lineRule="auto"/>
        <w:jc w:val="both"/>
        <w:rPr>
          <w:rFonts w:ascii="Arial" w:eastAsia="Calibri" w:hAnsi="Arial" w:cs="Arial"/>
          <w:color w:val="auto"/>
          <w:kern w:val="0"/>
          <w:sz w:val="22"/>
          <w:szCs w:val="22"/>
          <w:lang w:eastAsia="en-US"/>
        </w:rPr>
      </w:pPr>
      <w:r w:rsidRPr="006D217F">
        <w:rPr>
          <w:rFonts w:ascii="Arial" w:eastAsia="Calibri" w:hAnsi="Arial" w:cs="Arial"/>
          <w:color w:val="auto"/>
          <w:kern w:val="0"/>
          <w:sz w:val="22"/>
          <w:szCs w:val="22"/>
          <w:lang w:eastAsia="en-US"/>
        </w:rPr>
        <w:t>NHBC collects information on all new-build properties registered for NHBC’s New-Build and Self-Build warranty products. NHBC provides the warranty on approximately 70 to 80% of new homes built in the UK.</w:t>
      </w:r>
    </w:p>
    <w:p w14:paraId="74AC7CC0" w14:textId="77777777" w:rsidR="00D67F55" w:rsidRPr="006D217F" w:rsidRDefault="00D67F55" w:rsidP="00D67F55">
      <w:pPr>
        <w:spacing w:after="160" w:line="259" w:lineRule="auto"/>
        <w:jc w:val="both"/>
        <w:rPr>
          <w:rFonts w:ascii="Arial" w:eastAsia="Calibri" w:hAnsi="Arial" w:cs="Arial"/>
          <w:i/>
          <w:color w:val="auto"/>
          <w:kern w:val="0"/>
          <w:sz w:val="22"/>
          <w:szCs w:val="22"/>
          <w:lang w:eastAsia="en-US"/>
        </w:rPr>
      </w:pPr>
      <w:r w:rsidRPr="006D217F">
        <w:rPr>
          <w:rFonts w:ascii="Arial" w:eastAsia="Calibri" w:hAnsi="Arial" w:cs="Arial"/>
          <w:i/>
          <w:color w:val="auto"/>
          <w:kern w:val="0"/>
          <w:sz w:val="22"/>
          <w:szCs w:val="22"/>
          <w:lang w:eastAsia="en-US"/>
        </w:rPr>
        <w:t>Data Source</w:t>
      </w:r>
    </w:p>
    <w:p w14:paraId="183AC6CA" w14:textId="77777777" w:rsidR="00D67F55" w:rsidRPr="006D217F" w:rsidRDefault="00D67F55" w:rsidP="00D67F55">
      <w:pPr>
        <w:spacing w:after="160" w:line="259" w:lineRule="auto"/>
        <w:jc w:val="both"/>
        <w:rPr>
          <w:rFonts w:ascii="Arial" w:eastAsia="Calibri" w:hAnsi="Arial" w:cs="Arial"/>
          <w:color w:val="auto"/>
          <w:kern w:val="0"/>
          <w:sz w:val="22"/>
          <w:szCs w:val="22"/>
          <w:lang w:eastAsia="en-US"/>
        </w:rPr>
      </w:pPr>
      <w:r w:rsidRPr="006D217F">
        <w:rPr>
          <w:rFonts w:ascii="Arial" w:eastAsia="Calibri" w:hAnsi="Arial" w:cs="Arial"/>
          <w:color w:val="auto"/>
          <w:kern w:val="0"/>
          <w:sz w:val="22"/>
          <w:szCs w:val="22"/>
          <w:lang w:eastAsia="en-US"/>
        </w:rPr>
        <w:t>Builders, on registering their intention to build a property, state the anticipated selling price of the property, which is entered on NHBC’s computer system.</w:t>
      </w:r>
    </w:p>
    <w:p w14:paraId="21E902BC" w14:textId="77777777" w:rsidR="00D67F55" w:rsidRPr="006D217F" w:rsidRDefault="00D67F55" w:rsidP="00D67F55">
      <w:pPr>
        <w:spacing w:after="160" w:line="259" w:lineRule="auto"/>
        <w:jc w:val="both"/>
        <w:rPr>
          <w:rFonts w:ascii="Arial" w:eastAsia="Calibri" w:hAnsi="Arial" w:cs="Arial"/>
          <w:color w:val="auto"/>
          <w:kern w:val="0"/>
          <w:sz w:val="22"/>
          <w:szCs w:val="22"/>
          <w:lang w:eastAsia="en-US"/>
        </w:rPr>
      </w:pPr>
      <w:r w:rsidRPr="006D217F">
        <w:rPr>
          <w:rFonts w:ascii="Arial" w:eastAsia="Calibri" w:hAnsi="Arial" w:cs="Arial"/>
          <w:color w:val="auto"/>
          <w:kern w:val="0"/>
          <w:sz w:val="22"/>
          <w:szCs w:val="22"/>
          <w:lang w:eastAsia="en-US"/>
        </w:rPr>
        <w:t>Once the property is sold, the purchaser’s solicitor notifies NHBC of the sale and states the actual selling on price by completing an ‘Acceptance of Cover’ form; either entering the information on-line or by completing and returning on a quarterly basis to bring back the information on selling price of properties sold in Northern Ireland within the time period.</w:t>
      </w:r>
    </w:p>
    <w:p w14:paraId="031AA77D" w14:textId="77777777" w:rsidR="00D67F55" w:rsidRPr="006D217F" w:rsidRDefault="00D67F55" w:rsidP="00D67F55">
      <w:pPr>
        <w:spacing w:after="160" w:line="259" w:lineRule="auto"/>
        <w:jc w:val="both"/>
        <w:rPr>
          <w:rFonts w:ascii="Arial" w:eastAsia="Calibri" w:hAnsi="Arial" w:cs="Arial"/>
          <w:i/>
          <w:color w:val="auto"/>
          <w:kern w:val="0"/>
          <w:sz w:val="22"/>
          <w:szCs w:val="22"/>
          <w:lang w:eastAsia="en-US"/>
        </w:rPr>
      </w:pPr>
      <w:r w:rsidRPr="006D217F">
        <w:rPr>
          <w:rFonts w:ascii="Arial" w:eastAsia="Calibri" w:hAnsi="Arial" w:cs="Arial"/>
          <w:i/>
          <w:color w:val="auto"/>
          <w:kern w:val="0"/>
          <w:sz w:val="22"/>
          <w:szCs w:val="22"/>
          <w:lang w:eastAsia="en-US"/>
        </w:rPr>
        <w:t>Data Downloads</w:t>
      </w:r>
    </w:p>
    <w:p w14:paraId="30981AF0" w14:textId="77777777" w:rsidR="00D67F55" w:rsidRDefault="00D67F55" w:rsidP="00D67F55">
      <w:pPr>
        <w:spacing w:after="160" w:line="259" w:lineRule="auto"/>
        <w:jc w:val="both"/>
        <w:rPr>
          <w:rFonts w:ascii="Arial" w:eastAsia="Calibri" w:hAnsi="Arial" w:cs="Arial"/>
          <w:color w:val="auto"/>
          <w:kern w:val="0"/>
          <w:sz w:val="22"/>
          <w:szCs w:val="22"/>
          <w:lang w:eastAsia="en-US"/>
        </w:rPr>
      </w:pPr>
      <w:r w:rsidRPr="006D217F">
        <w:rPr>
          <w:rFonts w:ascii="Arial" w:eastAsia="Calibri" w:hAnsi="Arial" w:cs="Arial"/>
          <w:color w:val="auto"/>
          <w:kern w:val="0"/>
          <w:sz w:val="22"/>
          <w:szCs w:val="22"/>
          <w:lang w:eastAsia="en-US"/>
        </w:rPr>
        <w:t>Reports are run against the database to identify all properties sold in Northern Ireland during the relevant time period that have a purchase price entered on the system. The following checks are carried out on the data returned: (i) reliability of data using logic checks; (ii) checking that variables fall within accepted ranges; and (iii) querying any large discrepancies between anticipated and actual selling price.</w:t>
      </w:r>
    </w:p>
    <w:p w14:paraId="564E2954" w14:textId="77777777" w:rsidR="00D67F55" w:rsidRDefault="00D67F55" w:rsidP="00D67F55">
      <w:pPr>
        <w:spacing w:after="160" w:line="259" w:lineRule="auto"/>
        <w:jc w:val="both"/>
        <w:rPr>
          <w:rFonts w:ascii="Arial" w:eastAsia="Calibri" w:hAnsi="Arial" w:cs="Arial"/>
          <w:color w:val="auto"/>
          <w:kern w:val="0"/>
          <w:sz w:val="22"/>
          <w:szCs w:val="22"/>
          <w:lang w:eastAsia="en-US"/>
        </w:rPr>
      </w:pPr>
    </w:p>
    <w:p w14:paraId="0F945894" w14:textId="77777777" w:rsidR="00D67F55" w:rsidRPr="006D217F" w:rsidRDefault="00D67F55" w:rsidP="00D67F55">
      <w:pPr>
        <w:spacing w:after="160" w:line="259" w:lineRule="auto"/>
        <w:jc w:val="both"/>
        <w:rPr>
          <w:rFonts w:ascii="Arial" w:eastAsia="Calibri" w:hAnsi="Arial" w:cs="Arial"/>
          <w:color w:val="auto"/>
          <w:kern w:val="0"/>
          <w:sz w:val="22"/>
          <w:szCs w:val="22"/>
          <w:lang w:eastAsia="en-US"/>
        </w:rPr>
      </w:pPr>
    </w:p>
    <w:p w14:paraId="4916F02B" w14:textId="77777777" w:rsidR="00D67F55" w:rsidRPr="006D217F" w:rsidRDefault="00D67F55" w:rsidP="00D67F55">
      <w:pPr>
        <w:spacing w:after="160" w:line="259" w:lineRule="auto"/>
        <w:jc w:val="both"/>
        <w:rPr>
          <w:rFonts w:ascii="Arial" w:eastAsia="Calibri" w:hAnsi="Arial" w:cs="Arial"/>
          <w:i/>
          <w:color w:val="auto"/>
          <w:kern w:val="0"/>
          <w:sz w:val="22"/>
          <w:szCs w:val="22"/>
          <w:lang w:eastAsia="en-US"/>
        </w:rPr>
      </w:pPr>
      <w:r w:rsidRPr="006D217F">
        <w:rPr>
          <w:rFonts w:ascii="Arial" w:eastAsia="Calibri" w:hAnsi="Arial" w:cs="Arial"/>
          <w:i/>
          <w:color w:val="auto"/>
          <w:kern w:val="0"/>
          <w:sz w:val="22"/>
          <w:szCs w:val="22"/>
          <w:lang w:eastAsia="en-US"/>
        </w:rPr>
        <w:lastRenderedPageBreak/>
        <w:t>Data Validation</w:t>
      </w:r>
    </w:p>
    <w:p w14:paraId="100889A0" w14:textId="77777777" w:rsidR="00D67F55" w:rsidRPr="006D217F" w:rsidRDefault="00D67F55" w:rsidP="00D67F55">
      <w:pPr>
        <w:spacing w:after="160" w:line="259" w:lineRule="auto"/>
        <w:jc w:val="both"/>
        <w:rPr>
          <w:rFonts w:ascii="Arial" w:eastAsia="Calibri" w:hAnsi="Arial" w:cs="Arial"/>
          <w:color w:val="auto"/>
          <w:kern w:val="0"/>
          <w:sz w:val="22"/>
          <w:szCs w:val="22"/>
          <w:lang w:eastAsia="en-US"/>
        </w:rPr>
      </w:pPr>
      <w:r w:rsidRPr="006D217F">
        <w:rPr>
          <w:rFonts w:ascii="Arial" w:eastAsia="Calibri" w:hAnsi="Arial" w:cs="Arial"/>
          <w:color w:val="auto"/>
          <w:kern w:val="0"/>
          <w:sz w:val="22"/>
          <w:szCs w:val="22"/>
          <w:lang w:eastAsia="en-US"/>
        </w:rPr>
        <w:t>NHBC acknowledges that some errors may occur due to the inputting of incorrect data. By careful checking of the data most possible errors are identified, investigated and amendments made where necessary. This validation includes identifying inaccuracies such as missing information or data that may have been keyed incorrectly. Reliance is placed however, on the date of legal completion (date of sale) being entered correctly on the system. Any amendments necessary are made on the system and checks are carried out to confirm that they have been done.</w:t>
      </w:r>
    </w:p>
    <w:p w14:paraId="32947719" w14:textId="77777777" w:rsidR="00D67F55" w:rsidRPr="006D217F" w:rsidRDefault="00D67F55" w:rsidP="00D67F55">
      <w:pPr>
        <w:spacing w:after="160" w:line="259" w:lineRule="auto"/>
        <w:jc w:val="both"/>
        <w:rPr>
          <w:rFonts w:ascii="Arial" w:eastAsia="Calibri" w:hAnsi="Arial" w:cs="Arial"/>
          <w:i/>
          <w:color w:val="auto"/>
          <w:kern w:val="0"/>
          <w:sz w:val="22"/>
          <w:szCs w:val="22"/>
          <w:lang w:eastAsia="en-US"/>
        </w:rPr>
      </w:pPr>
      <w:r w:rsidRPr="006D217F">
        <w:rPr>
          <w:rFonts w:ascii="Arial" w:eastAsia="Calibri" w:hAnsi="Arial" w:cs="Arial"/>
          <w:i/>
          <w:color w:val="auto"/>
          <w:kern w:val="0"/>
          <w:sz w:val="22"/>
          <w:szCs w:val="22"/>
          <w:lang w:eastAsia="en-US"/>
        </w:rPr>
        <w:t>Data Extract</w:t>
      </w:r>
    </w:p>
    <w:p w14:paraId="04A9C7DD" w14:textId="77777777" w:rsidR="00D67F55" w:rsidRPr="006D217F" w:rsidRDefault="00D67F55" w:rsidP="00D67F55">
      <w:pPr>
        <w:spacing w:after="160" w:line="259" w:lineRule="auto"/>
        <w:jc w:val="both"/>
        <w:rPr>
          <w:rFonts w:ascii="Arial" w:eastAsia="Calibri" w:hAnsi="Arial" w:cs="Arial"/>
          <w:color w:val="auto"/>
          <w:kern w:val="0"/>
          <w:sz w:val="22"/>
          <w:szCs w:val="22"/>
          <w:lang w:eastAsia="en-US"/>
        </w:rPr>
      </w:pPr>
      <w:r w:rsidRPr="006D217F">
        <w:rPr>
          <w:rFonts w:ascii="Arial" w:eastAsia="Calibri" w:hAnsi="Arial" w:cs="Arial"/>
          <w:color w:val="auto"/>
          <w:kern w:val="0"/>
          <w:sz w:val="22"/>
          <w:szCs w:val="22"/>
          <w:lang w:eastAsia="en-US"/>
        </w:rPr>
        <w:t xml:space="preserve">Data for new house sales and prices are provided on a quarterly basis. Quarterly data is combined in </w:t>
      </w:r>
      <w:r w:rsidRPr="003D3FE8">
        <w:rPr>
          <w:rFonts w:ascii="Arial" w:eastAsia="Calibri" w:hAnsi="Arial" w:cs="Arial"/>
          <w:color w:val="auto"/>
          <w:kern w:val="0"/>
          <w:sz w:val="22"/>
          <w:szCs w:val="22"/>
          <w:lang w:eastAsia="en-US"/>
        </w:rPr>
        <w:t>Table 3.</w:t>
      </w:r>
      <w:r>
        <w:rPr>
          <w:rFonts w:ascii="Arial" w:eastAsia="Calibri" w:hAnsi="Arial" w:cs="Arial"/>
          <w:color w:val="auto"/>
          <w:kern w:val="0"/>
          <w:sz w:val="22"/>
          <w:szCs w:val="22"/>
          <w:lang w:eastAsia="en-US"/>
        </w:rPr>
        <w:t>1</w:t>
      </w:r>
      <w:r w:rsidRPr="006D217F">
        <w:rPr>
          <w:rFonts w:ascii="Arial" w:eastAsia="Calibri" w:hAnsi="Arial" w:cs="Arial"/>
          <w:color w:val="auto"/>
          <w:kern w:val="0"/>
          <w:sz w:val="22"/>
          <w:szCs w:val="22"/>
          <w:lang w:eastAsia="en-US"/>
        </w:rPr>
        <w:t xml:space="preserve"> to produce yearly figures. Quarterly statistics are produced from the latest available data. Two tables are provided; the first is a re-run of the previous quarter in order to pick up any late on-line entries or paper forms returned by the solicitors. The second table covers the most recent quarter.</w:t>
      </w:r>
    </w:p>
    <w:p w14:paraId="00650B3B" w14:textId="77777777" w:rsidR="00D67F55" w:rsidRPr="006D217F" w:rsidRDefault="00D67F55" w:rsidP="00D67F55">
      <w:pPr>
        <w:spacing w:after="160" w:line="259" w:lineRule="auto"/>
        <w:jc w:val="both"/>
        <w:rPr>
          <w:rFonts w:ascii="Arial" w:eastAsia="Calibri" w:hAnsi="Arial" w:cs="Arial"/>
          <w:color w:val="auto"/>
          <w:kern w:val="0"/>
          <w:sz w:val="22"/>
          <w:szCs w:val="22"/>
          <w:lang w:eastAsia="en-US"/>
        </w:rPr>
      </w:pPr>
      <w:r w:rsidRPr="006D217F">
        <w:rPr>
          <w:rFonts w:ascii="Arial" w:eastAsia="Calibri" w:hAnsi="Arial" w:cs="Arial"/>
          <w:color w:val="auto"/>
          <w:kern w:val="0"/>
          <w:sz w:val="22"/>
          <w:szCs w:val="22"/>
          <w:lang w:eastAsia="en-US"/>
        </w:rPr>
        <w:t>In order to ensure that as many ‘Acceptance of Cover’ forms as possible are either entered on-line or manually completed and received from the solicitors for properties sold in the time period, these tables are scheduled for issue approximately six weeks after the period that the most recent table relates to. Due to the time lag in publication, the yearly total for new house sales and prices uses the re-run quarterly data supplied.</w:t>
      </w:r>
    </w:p>
    <w:p w14:paraId="3F6C94C6" w14:textId="77777777" w:rsidR="00D67F55" w:rsidRPr="006D217F" w:rsidRDefault="00D67F55" w:rsidP="00D67F55">
      <w:pPr>
        <w:spacing w:after="160" w:line="259" w:lineRule="auto"/>
        <w:jc w:val="both"/>
        <w:rPr>
          <w:rFonts w:ascii="Arial" w:eastAsia="Calibri" w:hAnsi="Arial" w:cs="Arial"/>
          <w:i/>
          <w:color w:val="auto"/>
          <w:kern w:val="0"/>
          <w:sz w:val="22"/>
          <w:szCs w:val="22"/>
          <w:lang w:eastAsia="en-US"/>
        </w:rPr>
      </w:pPr>
      <w:r w:rsidRPr="006D217F">
        <w:rPr>
          <w:rFonts w:ascii="Arial" w:eastAsia="Calibri" w:hAnsi="Arial" w:cs="Arial"/>
          <w:i/>
          <w:color w:val="auto"/>
          <w:kern w:val="0"/>
          <w:sz w:val="22"/>
          <w:szCs w:val="22"/>
          <w:lang w:eastAsia="en-US"/>
        </w:rPr>
        <w:t>Quarterly Assurance</w:t>
      </w:r>
    </w:p>
    <w:p w14:paraId="43944E91" w14:textId="77777777" w:rsidR="00D67F55" w:rsidRPr="006D217F" w:rsidRDefault="00D67F55" w:rsidP="00D67F55">
      <w:pPr>
        <w:spacing w:after="160" w:line="259" w:lineRule="auto"/>
        <w:jc w:val="both"/>
        <w:rPr>
          <w:rFonts w:ascii="Arial" w:eastAsia="Calibri" w:hAnsi="Arial" w:cs="Arial"/>
          <w:color w:val="auto"/>
          <w:kern w:val="0"/>
          <w:sz w:val="22"/>
          <w:szCs w:val="22"/>
          <w:lang w:eastAsia="en-US"/>
        </w:rPr>
      </w:pPr>
      <w:r w:rsidRPr="006D217F">
        <w:rPr>
          <w:rFonts w:ascii="Arial" w:eastAsia="Calibri" w:hAnsi="Arial" w:cs="Arial"/>
          <w:color w:val="auto"/>
          <w:kern w:val="0"/>
          <w:sz w:val="22"/>
          <w:szCs w:val="22"/>
          <w:lang w:eastAsia="en-US"/>
        </w:rPr>
        <w:t>The data is thoroughly checked and any anomalies investigated prior to issue in order to provide a high level of quality assurance. Nevertheless, as the figures are extracted from a live database on a particular date, figures may change due to late notification from solicitors. Although a re-run of the previous quarter is supplied, alongside the data for the most recent quarter, any data from notification provided after the re-run will not be captured.</w:t>
      </w:r>
    </w:p>
    <w:p w14:paraId="2B96E259" w14:textId="77777777" w:rsidR="00D67F55" w:rsidRPr="006D217F" w:rsidRDefault="00D67F55" w:rsidP="00D67F55">
      <w:pPr>
        <w:spacing w:after="160" w:line="259" w:lineRule="auto"/>
        <w:jc w:val="both"/>
        <w:rPr>
          <w:rFonts w:ascii="Arial" w:eastAsia="Calibri" w:hAnsi="Arial" w:cs="Arial"/>
          <w:i/>
          <w:color w:val="auto"/>
          <w:kern w:val="0"/>
          <w:sz w:val="22"/>
          <w:szCs w:val="22"/>
          <w:lang w:eastAsia="en-US"/>
        </w:rPr>
      </w:pPr>
      <w:r w:rsidRPr="006D217F">
        <w:rPr>
          <w:rFonts w:ascii="Arial" w:eastAsia="Calibri" w:hAnsi="Arial" w:cs="Arial"/>
          <w:i/>
          <w:color w:val="auto"/>
          <w:kern w:val="0"/>
          <w:sz w:val="22"/>
          <w:szCs w:val="22"/>
          <w:lang w:eastAsia="en-US"/>
        </w:rPr>
        <w:t>User Needs</w:t>
      </w:r>
    </w:p>
    <w:p w14:paraId="567649B8" w14:textId="77777777" w:rsidR="00D67F55" w:rsidRPr="006D217F" w:rsidRDefault="00D67F55" w:rsidP="00D67F55">
      <w:pPr>
        <w:spacing w:after="160" w:line="259" w:lineRule="auto"/>
        <w:jc w:val="both"/>
        <w:rPr>
          <w:rFonts w:ascii="Arial" w:eastAsia="Calibri" w:hAnsi="Arial" w:cs="Arial"/>
          <w:color w:val="auto"/>
          <w:kern w:val="0"/>
          <w:sz w:val="22"/>
          <w:szCs w:val="22"/>
          <w:lang w:eastAsia="en-US"/>
        </w:rPr>
      </w:pPr>
      <w:r w:rsidRPr="006D217F">
        <w:rPr>
          <w:rFonts w:ascii="Arial" w:eastAsia="Calibri" w:hAnsi="Arial" w:cs="Arial"/>
          <w:color w:val="auto"/>
          <w:kern w:val="0"/>
          <w:sz w:val="22"/>
          <w:szCs w:val="22"/>
          <w:lang w:eastAsia="en-US"/>
        </w:rPr>
        <w:t>NHBC welcomes any request for additional information and the requirements would be fully discussed to determine whether the data is available.</w:t>
      </w:r>
    </w:p>
    <w:p w14:paraId="12F70C6F" w14:textId="77777777" w:rsidR="00D67F55" w:rsidRPr="006D217F" w:rsidRDefault="00D67F55" w:rsidP="00D67F55">
      <w:pPr>
        <w:spacing w:after="160" w:line="259" w:lineRule="auto"/>
        <w:jc w:val="both"/>
        <w:rPr>
          <w:rFonts w:ascii="Arial" w:eastAsia="Calibri" w:hAnsi="Arial" w:cs="Arial"/>
          <w:i/>
          <w:color w:val="auto"/>
          <w:kern w:val="0"/>
          <w:sz w:val="22"/>
          <w:szCs w:val="22"/>
          <w:lang w:eastAsia="en-US"/>
        </w:rPr>
      </w:pPr>
      <w:r w:rsidRPr="006D217F">
        <w:rPr>
          <w:rFonts w:ascii="Arial" w:eastAsia="Calibri" w:hAnsi="Arial" w:cs="Arial"/>
          <w:i/>
          <w:color w:val="auto"/>
          <w:kern w:val="0"/>
          <w:sz w:val="22"/>
          <w:szCs w:val="22"/>
          <w:lang w:eastAsia="en-US"/>
        </w:rPr>
        <w:t>Comparability</w:t>
      </w:r>
    </w:p>
    <w:p w14:paraId="2AA4CA14" w14:textId="77777777" w:rsidR="00D67F55" w:rsidRPr="006D217F" w:rsidRDefault="00D67F55" w:rsidP="00D67F55">
      <w:pPr>
        <w:spacing w:after="160" w:line="259" w:lineRule="auto"/>
        <w:jc w:val="both"/>
        <w:rPr>
          <w:rFonts w:ascii="Arial" w:eastAsia="Calibri" w:hAnsi="Arial" w:cs="Arial"/>
          <w:color w:val="auto"/>
          <w:kern w:val="0"/>
          <w:sz w:val="22"/>
          <w:szCs w:val="22"/>
          <w:lang w:eastAsia="en-US"/>
        </w:rPr>
      </w:pPr>
      <w:r w:rsidRPr="006D217F">
        <w:rPr>
          <w:rFonts w:ascii="Arial" w:eastAsia="Calibri" w:hAnsi="Arial" w:cs="Arial"/>
          <w:color w:val="auto"/>
          <w:kern w:val="0"/>
          <w:sz w:val="22"/>
          <w:szCs w:val="22"/>
          <w:lang w:eastAsia="en-US"/>
        </w:rPr>
        <w:t xml:space="preserve">The time series of data in Table </w:t>
      </w:r>
      <w:r w:rsidRPr="003D3FE8">
        <w:rPr>
          <w:rFonts w:ascii="Arial" w:eastAsia="Calibri" w:hAnsi="Arial" w:cs="Arial"/>
          <w:color w:val="auto"/>
          <w:kern w:val="0"/>
          <w:sz w:val="22"/>
          <w:szCs w:val="22"/>
          <w:lang w:eastAsia="en-US"/>
        </w:rPr>
        <w:t>3.</w:t>
      </w:r>
      <w:r>
        <w:rPr>
          <w:rFonts w:ascii="Arial" w:eastAsia="Calibri" w:hAnsi="Arial" w:cs="Arial"/>
          <w:color w:val="auto"/>
          <w:kern w:val="0"/>
          <w:sz w:val="22"/>
          <w:szCs w:val="22"/>
          <w:lang w:eastAsia="en-US"/>
        </w:rPr>
        <w:t>1</w:t>
      </w:r>
      <w:r w:rsidRPr="006D217F">
        <w:rPr>
          <w:rFonts w:ascii="Arial" w:eastAsia="Calibri" w:hAnsi="Arial" w:cs="Arial"/>
          <w:color w:val="auto"/>
          <w:kern w:val="0"/>
          <w:sz w:val="22"/>
          <w:szCs w:val="22"/>
          <w:lang w:eastAsia="en-US"/>
        </w:rPr>
        <w:t xml:space="preserve"> are directly comparable over time as the methods of collecting the data have not changed.</w:t>
      </w:r>
    </w:p>
    <w:p w14:paraId="0EE92D3F" w14:textId="77777777" w:rsidR="00D67F55" w:rsidRPr="006D217F" w:rsidRDefault="00D67F55" w:rsidP="00D67F55">
      <w:pPr>
        <w:spacing w:after="160" w:line="259" w:lineRule="auto"/>
        <w:jc w:val="both"/>
        <w:rPr>
          <w:rFonts w:ascii="Arial" w:eastAsia="Calibri" w:hAnsi="Arial" w:cs="Arial"/>
          <w:color w:val="auto"/>
          <w:kern w:val="0"/>
          <w:sz w:val="22"/>
          <w:szCs w:val="22"/>
          <w:lang w:eastAsia="en-US"/>
        </w:rPr>
      </w:pPr>
      <w:r w:rsidRPr="006D217F">
        <w:rPr>
          <w:rFonts w:ascii="Arial" w:eastAsia="Calibri" w:hAnsi="Arial" w:cs="Arial"/>
          <w:color w:val="auto"/>
          <w:kern w:val="0"/>
          <w:sz w:val="22"/>
          <w:szCs w:val="22"/>
          <w:lang w:eastAsia="en-US"/>
        </w:rPr>
        <w:t>From April – June 2014 Local Government Districts (LGD) have been assigned to new dwellings by matching the dwelling postcode with the Northern Ireland Central Postcode Directory. In previous quarters the LGD stored on the NHBC database was used. These LGDs were either provided by builders or determined manually by NHBC staff referencing maps on the internet. Matching with the Central Postcode Directory is considered to provide a more accurate breakdown by LGD.</w:t>
      </w:r>
    </w:p>
    <w:p w14:paraId="22798468" w14:textId="77777777" w:rsidR="00D67F55" w:rsidRPr="006D217F" w:rsidRDefault="00D67F55" w:rsidP="00D67F55">
      <w:pPr>
        <w:spacing w:after="160" w:line="259" w:lineRule="auto"/>
        <w:jc w:val="both"/>
        <w:rPr>
          <w:rFonts w:ascii="Arial" w:eastAsia="Calibri" w:hAnsi="Arial" w:cs="Arial"/>
          <w:i/>
          <w:color w:val="auto"/>
          <w:kern w:val="0"/>
          <w:sz w:val="22"/>
          <w:szCs w:val="22"/>
          <w:lang w:eastAsia="en-US"/>
        </w:rPr>
      </w:pPr>
      <w:r w:rsidRPr="006D217F">
        <w:rPr>
          <w:rFonts w:ascii="Arial" w:eastAsia="Calibri" w:hAnsi="Arial" w:cs="Arial"/>
          <w:i/>
          <w:color w:val="auto"/>
          <w:kern w:val="0"/>
          <w:sz w:val="22"/>
          <w:szCs w:val="22"/>
          <w:lang w:eastAsia="en-US"/>
        </w:rPr>
        <w:t xml:space="preserve">Timeliness </w:t>
      </w:r>
    </w:p>
    <w:p w14:paraId="2AD95E4D" w14:textId="77777777" w:rsidR="00D67F55" w:rsidRDefault="00D67F55" w:rsidP="00D67F55">
      <w:pPr>
        <w:spacing w:after="160" w:line="259" w:lineRule="auto"/>
        <w:jc w:val="both"/>
        <w:rPr>
          <w:rFonts w:ascii="Arial" w:eastAsia="Calibri" w:hAnsi="Arial" w:cs="Arial"/>
          <w:color w:val="auto"/>
          <w:kern w:val="0"/>
          <w:sz w:val="22"/>
          <w:szCs w:val="22"/>
          <w:lang w:eastAsia="en-US"/>
        </w:rPr>
      </w:pPr>
      <w:r w:rsidRPr="006D217F">
        <w:rPr>
          <w:rFonts w:ascii="Arial" w:eastAsia="Calibri" w:hAnsi="Arial" w:cs="Arial"/>
          <w:color w:val="auto"/>
          <w:kern w:val="0"/>
          <w:sz w:val="22"/>
          <w:szCs w:val="22"/>
          <w:lang w:eastAsia="en-US"/>
        </w:rPr>
        <w:t xml:space="preserve">Data is provided to </w:t>
      </w:r>
      <w:r>
        <w:rPr>
          <w:rFonts w:ascii="Arial" w:eastAsia="Calibri" w:hAnsi="Arial" w:cs="Arial"/>
          <w:color w:val="auto"/>
          <w:kern w:val="0"/>
          <w:sz w:val="22"/>
          <w:szCs w:val="22"/>
          <w:lang w:eastAsia="en-US"/>
        </w:rPr>
        <w:t>Analytics Division</w:t>
      </w:r>
      <w:r w:rsidRPr="006D217F">
        <w:rPr>
          <w:rFonts w:ascii="Arial" w:eastAsia="Calibri" w:hAnsi="Arial" w:cs="Arial"/>
          <w:color w:val="auto"/>
          <w:kern w:val="0"/>
          <w:sz w:val="22"/>
          <w:szCs w:val="22"/>
          <w:lang w:eastAsia="en-US"/>
        </w:rPr>
        <w:t xml:space="preserve"> DfC on a quarterly basis. The submission dates being the end of January (re-run of Q3 and first run of Q4), April (re-run of Q4 and first run of Q1), July (re-run of Q1 and first run of Q2) and October (re-run of Q2 and first run of Q3). Where Q1=Jan to Mar, Q2=Apr to Jun, Q3=Jul to Sep and Q4=Oct to Dec.</w:t>
      </w:r>
    </w:p>
    <w:p w14:paraId="5229C97A" w14:textId="77777777" w:rsidR="00D67F55" w:rsidRPr="006D217F" w:rsidRDefault="00D67F55" w:rsidP="00D67F55">
      <w:pPr>
        <w:spacing w:after="160" w:line="259" w:lineRule="auto"/>
        <w:jc w:val="both"/>
        <w:rPr>
          <w:rFonts w:ascii="Arial" w:eastAsia="Calibri" w:hAnsi="Arial" w:cs="Arial"/>
          <w:i/>
          <w:color w:val="auto"/>
          <w:kern w:val="0"/>
          <w:sz w:val="22"/>
          <w:szCs w:val="22"/>
          <w:lang w:eastAsia="en-US"/>
        </w:rPr>
      </w:pPr>
      <w:r w:rsidRPr="006D217F">
        <w:rPr>
          <w:rFonts w:ascii="Arial" w:eastAsia="Calibri" w:hAnsi="Arial" w:cs="Arial"/>
          <w:i/>
          <w:color w:val="auto"/>
          <w:kern w:val="0"/>
          <w:sz w:val="22"/>
          <w:szCs w:val="22"/>
          <w:lang w:eastAsia="en-US"/>
        </w:rPr>
        <w:lastRenderedPageBreak/>
        <w:t>General Data Trends</w:t>
      </w:r>
    </w:p>
    <w:p w14:paraId="28232776" w14:textId="77777777" w:rsidR="00D67F55" w:rsidRPr="00F0378D" w:rsidRDefault="00D67F55" w:rsidP="00D67F55">
      <w:pPr>
        <w:spacing w:after="160" w:line="259" w:lineRule="auto"/>
        <w:jc w:val="both"/>
        <w:rPr>
          <w:rFonts w:ascii="Arial" w:eastAsia="Calibri" w:hAnsi="Arial" w:cs="Arial"/>
          <w:color w:val="auto"/>
          <w:kern w:val="0"/>
          <w:sz w:val="22"/>
          <w:szCs w:val="22"/>
          <w:lang w:eastAsia="en-US"/>
        </w:rPr>
      </w:pPr>
      <w:r w:rsidRPr="006D217F">
        <w:rPr>
          <w:rFonts w:ascii="Arial" w:eastAsia="Calibri" w:hAnsi="Arial" w:cs="Arial"/>
          <w:color w:val="auto"/>
          <w:kern w:val="0"/>
          <w:sz w:val="22"/>
          <w:szCs w:val="22"/>
          <w:lang w:eastAsia="en-US"/>
        </w:rPr>
        <w:t>It is not possible to make specific comments on the data that is supplied as it relies on solicitors informing NHBC of the sale in a timely manner, and it is possible that NHBC is notified many months after the sale of the property, or maybe not at all.</w:t>
      </w:r>
    </w:p>
    <w:p w14:paraId="490439DC" w14:textId="77777777" w:rsidR="00D67F55" w:rsidRDefault="00D67F55" w:rsidP="00D67F55">
      <w:pPr>
        <w:pStyle w:val="Heading1"/>
        <w:spacing w:after="240"/>
        <w:rPr>
          <w:rFonts w:eastAsia="Calibri"/>
          <w:lang w:eastAsia="en-US"/>
        </w:rPr>
      </w:pPr>
      <w:r>
        <w:rPr>
          <w:rFonts w:eastAsia="Calibri"/>
          <w:lang w:eastAsia="en-US"/>
        </w:rPr>
        <w:t>SECTION 4. AFFORDABLE WARMTH SCHEME</w:t>
      </w:r>
    </w:p>
    <w:p w14:paraId="422C82CA" w14:textId="77777777" w:rsidR="00D67F55" w:rsidRDefault="00D67F55" w:rsidP="00D67F55">
      <w:pPr>
        <w:pStyle w:val="Heading2"/>
        <w:rPr>
          <w:lang w:eastAsia="en-US"/>
        </w:rPr>
      </w:pPr>
      <w:r>
        <w:rPr>
          <w:lang w:eastAsia="en-US"/>
        </w:rPr>
        <w:t>Affordable Warmth Scheme</w:t>
      </w:r>
    </w:p>
    <w:p w14:paraId="40A25F5E" w14:textId="77777777" w:rsidR="00D67F55" w:rsidRDefault="00D67F55" w:rsidP="00D67F55">
      <w:pPr>
        <w:rPr>
          <w:rFonts w:eastAsia="Calibri"/>
          <w:lang w:eastAsia="en-US"/>
        </w:rPr>
      </w:pPr>
    </w:p>
    <w:p w14:paraId="303166C7" w14:textId="77777777" w:rsidR="00D67F55" w:rsidRDefault="00D67F55" w:rsidP="00D67F55">
      <w:pPr>
        <w:rPr>
          <w:rFonts w:ascii="Arial" w:eastAsia="Calibri" w:hAnsi="Arial" w:cs="Arial"/>
          <w:b/>
          <w:bCs/>
          <w:color w:val="auto"/>
          <w:sz w:val="22"/>
          <w:szCs w:val="22"/>
          <w:lang w:eastAsia="en-US"/>
        </w:rPr>
      </w:pPr>
      <w:r>
        <w:rPr>
          <w:rFonts w:ascii="Arial" w:eastAsia="Calibri" w:hAnsi="Arial" w:cs="Arial"/>
          <w:b/>
          <w:bCs/>
          <w:color w:val="auto"/>
          <w:sz w:val="22"/>
          <w:szCs w:val="22"/>
          <w:lang w:eastAsia="en-US"/>
        </w:rPr>
        <w:t>Data Quality</w:t>
      </w:r>
    </w:p>
    <w:p w14:paraId="72409AA9" w14:textId="77777777" w:rsidR="00D67F55" w:rsidRDefault="00D67F55" w:rsidP="00D67F55">
      <w:pPr>
        <w:rPr>
          <w:rFonts w:ascii="Arial" w:eastAsia="Calibri" w:hAnsi="Arial" w:cs="Arial"/>
          <w:b/>
          <w:bCs/>
          <w:color w:val="auto"/>
          <w:sz w:val="22"/>
          <w:szCs w:val="22"/>
          <w:lang w:eastAsia="en-US"/>
        </w:rPr>
      </w:pPr>
    </w:p>
    <w:p w14:paraId="337A3257" w14:textId="77777777" w:rsidR="00D67F55" w:rsidRDefault="00D67F55" w:rsidP="00D67F55">
      <w:pPr>
        <w:rPr>
          <w:rFonts w:ascii="Arial" w:eastAsia="Calibri" w:hAnsi="Arial" w:cs="Arial"/>
          <w:i/>
          <w:iCs/>
          <w:color w:val="auto"/>
          <w:sz w:val="22"/>
          <w:szCs w:val="22"/>
          <w:lang w:eastAsia="en-US"/>
        </w:rPr>
      </w:pPr>
      <w:r>
        <w:rPr>
          <w:rFonts w:ascii="Arial" w:eastAsia="Calibri" w:hAnsi="Arial" w:cs="Arial"/>
          <w:i/>
          <w:iCs/>
          <w:color w:val="auto"/>
          <w:sz w:val="22"/>
          <w:szCs w:val="22"/>
          <w:lang w:eastAsia="en-US"/>
        </w:rPr>
        <w:t>Relevance</w:t>
      </w:r>
    </w:p>
    <w:p w14:paraId="71EA11A3" w14:textId="77777777" w:rsidR="00D67F55" w:rsidRDefault="00D67F55" w:rsidP="00D67F55">
      <w:pPr>
        <w:rPr>
          <w:rFonts w:ascii="Arial" w:eastAsia="Calibri" w:hAnsi="Arial" w:cs="Arial"/>
          <w:i/>
          <w:iCs/>
          <w:color w:val="auto"/>
          <w:sz w:val="22"/>
          <w:szCs w:val="22"/>
          <w:lang w:eastAsia="en-US"/>
        </w:rPr>
      </w:pPr>
    </w:p>
    <w:p w14:paraId="3BB398D8" w14:textId="77777777" w:rsidR="00D67F55" w:rsidRDefault="00D67F55" w:rsidP="00D67F55">
      <w:pPr>
        <w:rPr>
          <w:rFonts w:ascii="Arial" w:eastAsia="Calibri" w:hAnsi="Arial" w:cs="Arial"/>
          <w:color w:val="auto"/>
          <w:sz w:val="22"/>
          <w:szCs w:val="22"/>
          <w:lang w:eastAsia="en-US"/>
        </w:rPr>
      </w:pPr>
      <w:r>
        <w:rPr>
          <w:rFonts w:ascii="Arial" w:eastAsia="Calibri" w:hAnsi="Arial" w:cs="Arial"/>
          <w:color w:val="auto"/>
          <w:sz w:val="22"/>
          <w:szCs w:val="22"/>
          <w:lang w:eastAsia="en-US"/>
        </w:rPr>
        <w:t>Table 2.4 reports on the Affordable Warmth Scheme activity. The scheme was introduced in September 2014 to replace the Warm Homes Scheme. The Scheme is aimed at fuel poor households in the private sector who earn less than £23,000. The Scheme offers a range of energy efficiency measures including loft/cavity insulation; solid wall insulation; draught proofing; heating; replacement of single-glazed and small repair works to windows. Users of the table are those with an interest in the housing sector, including government officials, the voluntary sector, charities, the private sector and others.</w:t>
      </w:r>
    </w:p>
    <w:p w14:paraId="73FB6F68" w14:textId="77777777" w:rsidR="00D67F55" w:rsidRDefault="00D67F55" w:rsidP="00D67F55">
      <w:pPr>
        <w:rPr>
          <w:rFonts w:ascii="Arial" w:eastAsia="Calibri" w:hAnsi="Arial" w:cs="Arial"/>
          <w:color w:val="auto"/>
          <w:sz w:val="22"/>
          <w:szCs w:val="22"/>
          <w:lang w:eastAsia="en-US"/>
        </w:rPr>
      </w:pPr>
    </w:p>
    <w:p w14:paraId="0FEDD9ED" w14:textId="77777777" w:rsidR="00D67F55" w:rsidRDefault="00D67F55" w:rsidP="00D67F55">
      <w:pPr>
        <w:rPr>
          <w:rFonts w:ascii="Arial" w:eastAsia="Calibri" w:hAnsi="Arial" w:cs="Arial"/>
          <w:i/>
          <w:iCs/>
          <w:color w:val="auto"/>
          <w:sz w:val="22"/>
          <w:szCs w:val="22"/>
          <w:lang w:eastAsia="en-US"/>
        </w:rPr>
      </w:pPr>
      <w:r>
        <w:rPr>
          <w:rFonts w:ascii="Arial" w:eastAsia="Calibri" w:hAnsi="Arial" w:cs="Arial"/>
          <w:i/>
          <w:iCs/>
          <w:color w:val="auto"/>
          <w:sz w:val="22"/>
          <w:szCs w:val="22"/>
          <w:lang w:eastAsia="en-US"/>
        </w:rPr>
        <w:t>Accessibility and Clarity</w:t>
      </w:r>
    </w:p>
    <w:p w14:paraId="32CE175D" w14:textId="77777777" w:rsidR="00D67F55" w:rsidRDefault="00D67F55" w:rsidP="00D67F55">
      <w:pPr>
        <w:rPr>
          <w:rFonts w:ascii="Arial" w:eastAsia="Calibri" w:hAnsi="Arial" w:cs="Arial"/>
          <w:i/>
          <w:iCs/>
          <w:color w:val="auto"/>
          <w:sz w:val="22"/>
          <w:szCs w:val="22"/>
          <w:lang w:eastAsia="en-US"/>
        </w:rPr>
      </w:pPr>
    </w:p>
    <w:p w14:paraId="27632274" w14:textId="77777777" w:rsidR="00D67F55" w:rsidRDefault="00D67F55" w:rsidP="00D67F55">
      <w:pPr>
        <w:rPr>
          <w:rFonts w:ascii="Arial" w:eastAsia="Calibri" w:hAnsi="Arial" w:cs="Arial"/>
          <w:color w:val="auto"/>
          <w:sz w:val="22"/>
          <w:szCs w:val="22"/>
          <w:lang w:eastAsia="en-US"/>
        </w:rPr>
      </w:pPr>
      <w:r>
        <w:rPr>
          <w:rFonts w:ascii="Arial" w:eastAsia="Calibri" w:hAnsi="Arial" w:cs="Arial"/>
          <w:color w:val="auto"/>
          <w:sz w:val="22"/>
          <w:szCs w:val="22"/>
          <w:lang w:eastAsia="en-US"/>
        </w:rPr>
        <w:t>This table is published in the DfC’s quarterly and annual housing statistics report. Requests for the information in different formats can be made by contacting the Department for Communities.</w:t>
      </w:r>
    </w:p>
    <w:p w14:paraId="212D838D" w14:textId="77777777" w:rsidR="00D67F55" w:rsidRDefault="00D67F55" w:rsidP="00D67F55">
      <w:pPr>
        <w:rPr>
          <w:rFonts w:ascii="Arial" w:eastAsia="Calibri" w:hAnsi="Arial" w:cs="Arial"/>
          <w:color w:val="auto"/>
          <w:sz w:val="22"/>
          <w:szCs w:val="22"/>
          <w:lang w:eastAsia="en-US"/>
        </w:rPr>
      </w:pPr>
    </w:p>
    <w:p w14:paraId="6A1C6FAB" w14:textId="77777777" w:rsidR="00D67F55" w:rsidRDefault="00D67F55" w:rsidP="00D67F55">
      <w:pPr>
        <w:rPr>
          <w:rFonts w:ascii="Arial" w:eastAsia="Calibri" w:hAnsi="Arial" w:cs="Arial"/>
          <w:i/>
          <w:iCs/>
          <w:color w:val="auto"/>
          <w:sz w:val="22"/>
          <w:szCs w:val="22"/>
          <w:lang w:eastAsia="en-US"/>
        </w:rPr>
      </w:pPr>
      <w:r>
        <w:rPr>
          <w:rFonts w:ascii="Arial" w:eastAsia="Calibri" w:hAnsi="Arial" w:cs="Arial"/>
          <w:i/>
          <w:iCs/>
          <w:color w:val="auto"/>
          <w:sz w:val="22"/>
          <w:szCs w:val="22"/>
          <w:lang w:eastAsia="en-US"/>
        </w:rPr>
        <w:t>Accuracy</w:t>
      </w:r>
    </w:p>
    <w:p w14:paraId="5FF4DCD8" w14:textId="77777777" w:rsidR="00D67F55" w:rsidRDefault="00D67F55" w:rsidP="00D67F55">
      <w:pPr>
        <w:rPr>
          <w:rFonts w:ascii="Arial" w:eastAsia="Calibri" w:hAnsi="Arial" w:cs="Arial"/>
          <w:i/>
          <w:iCs/>
          <w:color w:val="auto"/>
          <w:sz w:val="22"/>
          <w:szCs w:val="22"/>
          <w:lang w:eastAsia="en-US"/>
        </w:rPr>
      </w:pPr>
    </w:p>
    <w:p w14:paraId="4FC92F9F" w14:textId="77777777" w:rsidR="00D67F55" w:rsidRDefault="00D67F55" w:rsidP="00D67F55">
      <w:pPr>
        <w:rPr>
          <w:rFonts w:ascii="Arial" w:eastAsia="Calibri" w:hAnsi="Arial" w:cs="Arial"/>
          <w:color w:val="auto"/>
          <w:sz w:val="22"/>
          <w:szCs w:val="22"/>
          <w:lang w:eastAsia="en-US"/>
        </w:rPr>
      </w:pPr>
      <w:r>
        <w:rPr>
          <w:rFonts w:ascii="Arial" w:eastAsia="Calibri" w:hAnsi="Arial" w:cs="Arial"/>
          <w:color w:val="auto"/>
          <w:sz w:val="22"/>
          <w:szCs w:val="22"/>
          <w:lang w:eastAsia="en-US"/>
        </w:rPr>
        <w:t>Information on all cases on the Affordable Warmth Scheme are downloaded and validated to ensure that the data are reliable and robust. Data on the Affordable Warmth Scheme are generally downloaded on a monthly basis. The Housing Executive checks all data that are published carefully to provide a high level of quality assurance.</w:t>
      </w:r>
    </w:p>
    <w:p w14:paraId="7434C8D7" w14:textId="77777777" w:rsidR="00D67F55" w:rsidRDefault="00D67F55" w:rsidP="00D67F55">
      <w:pPr>
        <w:rPr>
          <w:rFonts w:ascii="Arial" w:eastAsia="Calibri" w:hAnsi="Arial" w:cs="Arial"/>
          <w:color w:val="auto"/>
          <w:sz w:val="22"/>
          <w:szCs w:val="22"/>
          <w:lang w:eastAsia="en-US"/>
        </w:rPr>
      </w:pPr>
    </w:p>
    <w:p w14:paraId="2809D765" w14:textId="77777777" w:rsidR="00D67F55" w:rsidRDefault="00D67F55" w:rsidP="00D67F55">
      <w:pPr>
        <w:rPr>
          <w:rFonts w:ascii="Arial" w:eastAsia="Calibri" w:hAnsi="Arial" w:cs="Arial"/>
          <w:i/>
          <w:iCs/>
          <w:color w:val="auto"/>
          <w:sz w:val="22"/>
          <w:szCs w:val="22"/>
          <w:lang w:eastAsia="en-US"/>
        </w:rPr>
      </w:pPr>
      <w:r>
        <w:rPr>
          <w:rFonts w:ascii="Arial" w:eastAsia="Calibri" w:hAnsi="Arial" w:cs="Arial"/>
          <w:i/>
          <w:iCs/>
          <w:color w:val="auto"/>
          <w:sz w:val="22"/>
          <w:szCs w:val="22"/>
          <w:lang w:eastAsia="en-US"/>
        </w:rPr>
        <w:t>Timeliness</w:t>
      </w:r>
    </w:p>
    <w:p w14:paraId="1C98F7C3" w14:textId="77777777" w:rsidR="00D67F55" w:rsidRDefault="00D67F55" w:rsidP="00D67F55">
      <w:pPr>
        <w:rPr>
          <w:rFonts w:ascii="Arial" w:eastAsia="Calibri" w:hAnsi="Arial" w:cs="Arial"/>
          <w:i/>
          <w:iCs/>
          <w:color w:val="auto"/>
          <w:sz w:val="22"/>
          <w:szCs w:val="22"/>
          <w:lang w:eastAsia="en-US"/>
        </w:rPr>
      </w:pPr>
    </w:p>
    <w:p w14:paraId="3365C4EA" w14:textId="77777777" w:rsidR="00D67F55" w:rsidRDefault="00D67F55" w:rsidP="00D67F55">
      <w:pPr>
        <w:rPr>
          <w:rFonts w:ascii="Arial" w:eastAsia="Calibri" w:hAnsi="Arial" w:cs="Arial"/>
          <w:color w:val="auto"/>
          <w:sz w:val="22"/>
          <w:szCs w:val="22"/>
          <w:lang w:eastAsia="en-US"/>
        </w:rPr>
      </w:pPr>
      <w:r>
        <w:rPr>
          <w:rFonts w:ascii="Arial" w:eastAsia="Calibri" w:hAnsi="Arial" w:cs="Arial"/>
          <w:color w:val="auto"/>
          <w:sz w:val="22"/>
          <w:szCs w:val="22"/>
          <w:lang w:eastAsia="en-US"/>
        </w:rPr>
        <w:t>Statistics on expenditure associated with the Affordable Warmth Scheme are published on a quarterly basis.</w:t>
      </w:r>
    </w:p>
    <w:p w14:paraId="62400D03" w14:textId="77777777" w:rsidR="00D67F55" w:rsidRDefault="00D67F55" w:rsidP="00D67F55">
      <w:pPr>
        <w:rPr>
          <w:rFonts w:ascii="Arial" w:eastAsia="Calibri" w:hAnsi="Arial" w:cs="Arial"/>
          <w:color w:val="auto"/>
          <w:sz w:val="22"/>
          <w:szCs w:val="22"/>
          <w:lang w:eastAsia="en-US"/>
        </w:rPr>
      </w:pPr>
    </w:p>
    <w:p w14:paraId="4E401B48" w14:textId="77777777" w:rsidR="00D67F55" w:rsidRDefault="00D67F55" w:rsidP="00D67F55">
      <w:pPr>
        <w:rPr>
          <w:rFonts w:ascii="Arial" w:eastAsia="Calibri" w:hAnsi="Arial" w:cs="Arial"/>
          <w:i/>
          <w:iCs/>
          <w:color w:val="auto"/>
          <w:sz w:val="22"/>
          <w:szCs w:val="22"/>
          <w:lang w:eastAsia="en-US"/>
        </w:rPr>
      </w:pPr>
      <w:r>
        <w:rPr>
          <w:rFonts w:ascii="Arial" w:eastAsia="Calibri" w:hAnsi="Arial" w:cs="Arial"/>
          <w:i/>
          <w:iCs/>
          <w:color w:val="auto"/>
          <w:sz w:val="22"/>
          <w:szCs w:val="22"/>
          <w:lang w:eastAsia="en-US"/>
        </w:rPr>
        <w:t>Coherence and Comparability</w:t>
      </w:r>
    </w:p>
    <w:p w14:paraId="0C638847" w14:textId="77777777" w:rsidR="00D67F55" w:rsidRDefault="00D67F55" w:rsidP="00D67F55">
      <w:pPr>
        <w:rPr>
          <w:rFonts w:ascii="Arial" w:eastAsia="Calibri" w:hAnsi="Arial" w:cs="Arial"/>
          <w:i/>
          <w:iCs/>
          <w:color w:val="auto"/>
          <w:sz w:val="22"/>
          <w:szCs w:val="22"/>
          <w:lang w:eastAsia="en-US"/>
        </w:rPr>
      </w:pPr>
    </w:p>
    <w:p w14:paraId="616FCD94" w14:textId="77777777" w:rsidR="00D67F55" w:rsidRDefault="00D67F55" w:rsidP="00D67F55">
      <w:pPr>
        <w:rPr>
          <w:rFonts w:ascii="Arial" w:eastAsia="Calibri" w:hAnsi="Arial" w:cs="Arial"/>
          <w:color w:val="auto"/>
          <w:sz w:val="22"/>
          <w:szCs w:val="22"/>
          <w:lang w:eastAsia="en-US"/>
        </w:rPr>
      </w:pPr>
      <w:r>
        <w:rPr>
          <w:rFonts w:ascii="Arial" w:eastAsia="Calibri" w:hAnsi="Arial" w:cs="Arial"/>
          <w:color w:val="auto"/>
          <w:sz w:val="22"/>
          <w:szCs w:val="22"/>
          <w:lang w:eastAsia="en-US"/>
        </w:rPr>
        <w:t>The method of reporting changed in 2026. In bulletins up to October to December 2025, measures</w:t>
      </w:r>
      <w:r w:rsidRPr="00E0328F">
        <w:rPr>
          <w:rFonts w:ascii="Arial" w:eastAsia="Calibri" w:hAnsi="Arial" w:cs="Arial"/>
          <w:color w:val="auto"/>
          <w:sz w:val="22"/>
          <w:szCs w:val="22"/>
          <w:lang w:eastAsia="en-US"/>
        </w:rPr>
        <w:t xml:space="preserve"> </w:t>
      </w:r>
      <w:r>
        <w:rPr>
          <w:rFonts w:ascii="Arial" w:eastAsia="Calibri" w:hAnsi="Arial" w:cs="Arial"/>
          <w:color w:val="auto"/>
          <w:sz w:val="22"/>
          <w:szCs w:val="22"/>
          <w:lang w:eastAsia="en-US"/>
        </w:rPr>
        <w:t xml:space="preserve">installed </w:t>
      </w:r>
      <w:r w:rsidRPr="00E0328F">
        <w:rPr>
          <w:rFonts w:ascii="Arial" w:eastAsia="Calibri" w:hAnsi="Arial" w:cs="Arial"/>
          <w:color w:val="auto"/>
          <w:sz w:val="22"/>
          <w:szCs w:val="22"/>
          <w:lang w:eastAsia="en-US"/>
        </w:rPr>
        <w:t xml:space="preserve">and homes </w:t>
      </w:r>
      <w:r>
        <w:rPr>
          <w:rFonts w:ascii="Arial" w:eastAsia="Calibri" w:hAnsi="Arial" w:cs="Arial"/>
          <w:color w:val="auto"/>
          <w:sz w:val="22"/>
          <w:szCs w:val="22"/>
          <w:lang w:eastAsia="en-US"/>
        </w:rPr>
        <w:t>improved</w:t>
      </w:r>
      <w:r w:rsidRPr="00E0328F">
        <w:rPr>
          <w:rFonts w:ascii="Arial" w:eastAsia="Calibri" w:hAnsi="Arial" w:cs="Arial"/>
          <w:color w:val="auto"/>
          <w:sz w:val="22"/>
          <w:szCs w:val="22"/>
          <w:lang w:eastAsia="en-US"/>
        </w:rPr>
        <w:t xml:space="preserve"> were reported using the date on which completion documentation was received.</w:t>
      </w:r>
      <w:r>
        <w:rPr>
          <w:rFonts w:ascii="Arial" w:eastAsia="Calibri" w:hAnsi="Arial" w:cs="Arial"/>
          <w:color w:val="auto"/>
          <w:sz w:val="22"/>
          <w:szCs w:val="22"/>
          <w:lang w:eastAsia="en-US"/>
        </w:rPr>
        <w:t xml:space="preserve"> From the January to March 2026 bulletin, </w:t>
      </w:r>
      <w:r w:rsidRPr="001F7C0D">
        <w:rPr>
          <w:rFonts w:ascii="Arial" w:eastAsia="Calibri" w:hAnsi="Arial" w:cs="Arial"/>
          <w:color w:val="auto"/>
          <w:sz w:val="22"/>
          <w:szCs w:val="22"/>
          <w:lang w:eastAsia="en-US"/>
        </w:rPr>
        <w:t>measures installed and homes improved are based on the date a payment is issued for the completed measure.</w:t>
      </w:r>
    </w:p>
    <w:p w14:paraId="192E930A" w14:textId="77777777" w:rsidR="00D67F55" w:rsidRDefault="00D67F55" w:rsidP="00D67F55">
      <w:pPr>
        <w:rPr>
          <w:rFonts w:ascii="Arial" w:eastAsia="Calibri" w:hAnsi="Arial" w:cs="Arial"/>
          <w:color w:val="auto"/>
          <w:sz w:val="22"/>
          <w:szCs w:val="22"/>
          <w:lang w:eastAsia="en-US"/>
        </w:rPr>
      </w:pPr>
    </w:p>
    <w:p w14:paraId="66787CCE" w14:textId="1E27B54E" w:rsidR="00D67F55" w:rsidRPr="00C649E9" w:rsidRDefault="00D67F55" w:rsidP="00EE367E">
      <w:pPr>
        <w:rPr>
          <w:rFonts w:ascii="Arial" w:eastAsia="Calibri" w:hAnsi="Arial" w:cs="Arial"/>
          <w:color w:val="auto"/>
          <w:sz w:val="22"/>
          <w:szCs w:val="22"/>
          <w:lang w:eastAsia="en-US"/>
        </w:rPr>
      </w:pPr>
      <w:r w:rsidRPr="001F7C0D">
        <w:rPr>
          <w:rFonts w:ascii="Arial" w:eastAsia="Calibri" w:hAnsi="Arial" w:cs="Arial"/>
          <w:color w:val="auto"/>
          <w:sz w:val="22"/>
          <w:szCs w:val="22"/>
          <w:lang w:eastAsia="en-US"/>
        </w:rPr>
        <w:t>As a result of this methodology change</w:t>
      </w:r>
      <w:r>
        <w:rPr>
          <w:rFonts w:ascii="Arial" w:eastAsia="Calibri" w:hAnsi="Arial" w:cs="Arial"/>
          <w:color w:val="auto"/>
          <w:sz w:val="22"/>
          <w:szCs w:val="22"/>
          <w:lang w:eastAsia="en-US"/>
        </w:rPr>
        <w:t xml:space="preserve">, figures relating to the value of approvals </w:t>
      </w:r>
      <w:r w:rsidRPr="00F82AD1">
        <w:rPr>
          <w:rFonts w:ascii="Arial" w:eastAsia="Calibri" w:hAnsi="Arial" w:cs="Arial"/>
          <w:color w:val="auto"/>
          <w:sz w:val="22"/>
          <w:szCs w:val="22"/>
          <w:lang w:eastAsia="en-US"/>
        </w:rPr>
        <w:t>issued, the number of homes improved, and the number of measures installed</w:t>
      </w:r>
      <w:r>
        <w:rPr>
          <w:rFonts w:ascii="Arial" w:eastAsia="Calibri" w:hAnsi="Arial" w:cs="Arial"/>
          <w:color w:val="auto"/>
          <w:sz w:val="22"/>
          <w:szCs w:val="22"/>
          <w:lang w:eastAsia="en-US"/>
        </w:rPr>
        <w:t xml:space="preserve"> have been revised in the January to March 2026 bulletin. While the level of scheme activity has not changed, </w:t>
      </w:r>
      <w:r w:rsidRPr="002617E3">
        <w:rPr>
          <w:rFonts w:ascii="Arial" w:eastAsia="Calibri" w:hAnsi="Arial" w:cs="Arial"/>
          <w:color w:val="auto"/>
          <w:sz w:val="22"/>
          <w:szCs w:val="22"/>
          <w:lang w:eastAsia="en-US"/>
        </w:rPr>
        <w:t xml:space="preserve">the figures assigned to each quarter may differ </w:t>
      </w:r>
      <w:r>
        <w:rPr>
          <w:rFonts w:ascii="Arial" w:eastAsia="Calibri" w:hAnsi="Arial" w:cs="Arial"/>
          <w:color w:val="auto"/>
          <w:sz w:val="22"/>
          <w:szCs w:val="22"/>
          <w:lang w:eastAsia="en-US"/>
        </w:rPr>
        <w:t>from previous bulletins as</w:t>
      </w:r>
      <w:r w:rsidRPr="002617E3">
        <w:rPr>
          <w:rFonts w:ascii="Arial" w:eastAsia="Calibri" w:hAnsi="Arial" w:cs="Arial"/>
          <w:color w:val="auto"/>
          <w:sz w:val="22"/>
          <w:szCs w:val="22"/>
          <w:lang w:eastAsia="en-US"/>
        </w:rPr>
        <w:t xml:space="preserve"> </w:t>
      </w:r>
      <w:r>
        <w:rPr>
          <w:rFonts w:ascii="Arial" w:eastAsia="Calibri" w:hAnsi="Arial" w:cs="Arial"/>
          <w:color w:val="auto"/>
          <w:sz w:val="22"/>
          <w:szCs w:val="22"/>
          <w:lang w:eastAsia="en-US"/>
        </w:rPr>
        <w:t>data</w:t>
      </w:r>
      <w:r w:rsidRPr="002617E3">
        <w:rPr>
          <w:rFonts w:ascii="Arial" w:eastAsia="Calibri" w:hAnsi="Arial" w:cs="Arial"/>
          <w:color w:val="auto"/>
          <w:sz w:val="22"/>
          <w:szCs w:val="22"/>
          <w:lang w:eastAsia="en-US"/>
        </w:rPr>
        <w:t xml:space="preserve"> are now recorded at a different point in time</w:t>
      </w:r>
      <w:r>
        <w:rPr>
          <w:rFonts w:ascii="Arial" w:eastAsia="Calibri" w:hAnsi="Arial" w:cs="Arial"/>
          <w:color w:val="auto"/>
          <w:sz w:val="22"/>
          <w:szCs w:val="22"/>
          <w:lang w:eastAsia="en-US"/>
        </w:rPr>
        <w:t xml:space="preserve">. </w:t>
      </w:r>
    </w:p>
    <w:sectPr w:rsidR="00D67F55" w:rsidRPr="00C649E9" w:rsidSect="00BF5F85">
      <w:headerReference w:type="default" r:id="rId23"/>
      <w:footerReference w:type="default" r:id="rId24"/>
      <w:headerReference w:type="first" r:id="rId25"/>
      <w:footerReference w:type="first" r:id="rId2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91B0" w14:textId="77777777" w:rsidR="005875DE" w:rsidRDefault="005875DE" w:rsidP="00F13834">
      <w:r>
        <w:separator/>
      </w:r>
    </w:p>
    <w:p w14:paraId="179BF35E" w14:textId="77777777" w:rsidR="005875DE" w:rsidRDefault="005875DE"/>
    <w:p w14:paraId="54D41C3D" w14:textId="77777777" w:rsidR="005875DE" w:rsidRDefault="005875DE" w:rsidP="0022106B"/>
  </w:endnote>
  <w:endnote w:type="continuationSeparator" w:id="0">
    <w:p w14:paraId="4C9DD78D" w14:textId="77777777" w:rsidR="005875DE" w:rsidRDefault="005875DE" w:rsidP="00F13834">
      <w:r>
        <w:continuationSeparator/>
      </w:r>
    </w:p>
    <w:p w14:paraId="5E631E27" w14:textId="77777777" w:rsidR="005875DE" w:rsidRDefault="005875DE"/>
    <w:p w14:paraId="1B88A785" w14:textId="77777777" w:rsidR="005875DE" w:rsidRDefault="005875DE" w:rsidP="00221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699824"/>
      <w:docPartObj>
        <w:docPartGallery w:val="Page Numbers (Bottom of Page)"/>
        <w:docPartUnique/>
      </w:docPartObj>
    </w:sdtPr>
    <w:sdtEndPr>
      <w:rPr>
        <w:color w:val="7F7F7F" w:themeColor="background1" w:themeShade="7F"/>
        <w:spacing w:val="60"/>
      </w:rPr>
    </w:sdtEndPr>
    <w:sdtContent>
      <w:p w14:paraId="5AC1ABA1" w14:textId="7BEF3576" w:rsidR="00706783" w:rsidRPr="0016644D" w:rsidRDefault="00F13834" w:rsidP="0016644D">
        <w:pPr>
          <w:pStyle w:val="Footer"/>
          <w:pBdr>
            <w:top w:val="single" w:sz="4" w:space="1" w:color="D9D9D9" w:themeColor="background1" w:themeShade="D9"/>
          </w:pBdr>
          <w:ind w:left="4127" w:firstLine="3793"/>
          <w:rPr>
            <w:b/>
            <w:bCs/>
          </w:rPr>
        </w:pPr>
        <w:r>
          <w:fldChar w:fldCharType="begin"/>
        </w:r>
        <w:r>
          <w:instrText xml:space="preserve"> PAGE   \* MERGEFORMAT </w:instrText>
        </w:r>
        <w:r>
          <w:fldChar w:fldCharType="separate"/>
        </w:r>
        <w:r w:rsidR="00F01343" w:rsidRPr="00F01343">
          <w:rPr>
            <w:b/>
            <w:bCs/>
            <w:noProof/>
          </w:rPr>
          <w:t>1</w:t>
        </w:r>
        <w:r>
          <w:rPr>
            <w:b/>
            <w:bCs/>
            <w:noProof/>
          </w:rPr>
          <w:fldChar w:fldCharType="end"/>
        </w:r>
        <w:r>
          <w:rPr>
            <w:b/>
            <w:bCs/>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217930"/>
      <w:docPartObj>
        <w:docPartGallery w:val="Page Numbers (Bottom of Page)"/>
        <w:docPartUnique/>
      </w:docPartObj>
    </w:sdtPr>
    <w:sdtEndPr>
      <w:rPr>
        <w:color w:val="7F7F7F" w:themeColor="background1" w:themeShade="7F"/>
        <w:spacing w:val="60"/>
      </w:rPr>
    </w:sdtEndPr>
    <w:sdtContent>
      <w:p w14:paraId="29AF5983" w14:textId="5F78207C" w:rsidR="00BF5F85" w:rsidRDefault="00BF5F85" w:rsidP="00BF5F85">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t>1</w:t>
        </w:r>
        <w:r>
          <w:rPr>
            <w:b/>
            <w:bCs/>
            <w:noProof/>
          </w:rPr>
          <w:fldChar w:fldCharType="end"/>
        </w:r>
        <w:r>
          <w:rPr>
            <w:b/>
            <w:bCs/>
          </w:rPr>
          <w:t xml:space="preserve"> | </w:t>
        </w:r>
        <w:r>
          <w:rPr>
            <w:color w:val="7F7F7F" w:themeColor="background1" w:themeShade="7F"/>
            <w:spacing w:val="60"/>
          </w:rPr>
          <w:t>Page</w:t>
        </w:r>
      </w:p>
    </w:sdtContent>
  </w:sdt>
  <w:p w14:paraId="676D00D3" w14:textId="77777777" w:rsidR="00BF5F85" w:rsidRDefault="00BF5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A680" w14:textId="77777777" w:rsidR="005875DE" w:rsidRDefault="005875DE" w:rsidP="00F13834">
      <w:r>
        <w:separator/>
      </w:r>
    </w:p>
    <w:p w14:paraId="1CA540C3" w14:textId="77777777" w:rsidR="005875DE" w:rsidRDefault="005875DE"/>
    <w:p w14:paraId="0AB23E87" w14:textId="77777777" w:rsidR="005875DE" w:rsidRDefault="005875DE" w:rsidP="0022106B"/>
  </w:footnote>
  <w:footnote w:type="continuationSeparator" w:id="0">
    <w:p w14:paraId="18B6A8E8" w14:textId="77777777" w:rsidR="005875DE" w:rsidRDefault="005875DE" w:rsidP="00F13834">
      <w:r>
        <w:continuationSeparator/>
      </w:r>
    </w:p>
    <w:p w14:paraId="327A8275" w14:textId="77777777" w:rsidR="005875DE" w:rsidRDefault="005875DE"/>
    <w:p w14:paraId="20EB827F" w14:textId="77777777" w:rsidR="005875DE" w:rsidRDefault="005875DE" w:rsidP="002210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0312" w14:textId="77777777" w:rsidR="00543571" w:rsidRDefault="00543571">
    <w:pPr>
      <w:pStyle w:val="Header"/>
    </w:pPr>
    <w:r>
      <w:rPr>
        <w:noProof/>
      </w:rPr>
      <mc:AlternateContent>
        <mc:Choice Requires="wps">
          <w:drawing>
            <wp:inline distT="0" distB="0" distL="0" distR="0" wp14:anchorId="5D5822D3" wp14:editId="193CDDF5">
              <wp:extent cx="5950039" cy="270457"/>
              <wp:effectExtent l="0" t="0" r="0" b="0"/>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b/>
                              <w:caps/>
                              <w:color w:val="FFFFFF" w:themeColor="background1"/>
                              <w:sz w:val="32"/>
                              <w:szCs w:val="32"/>
                            </w:rPr>
                            <w:alias w:val="Title"/>
                            <w:tag w:val=""/>
                            <w:id w:val="1557355130"/>
                            <w:dataBinding w:prefixMappings="xmlns:ns0='http://purl.org/dc/elements/1.1/' xmlns:ns1='http://schemas.openxmlformats.org/package/2006/metadata/core-properties' " w:xpath="/ns1:coreProperties[1]/ns0:title[1]" w:storeItemID="{6C3C8BC8-F283-45AE-878A-BAB7291924A1}"/>
                            <w:text/>
                          </w:sdtPr>
                          <w:sdtContent>
                            <w:p w14:paraId="29BA6D05" w14:textId="77777777" w:rsidR="00543571" w:rsidRDefault="00543571" w:rsidP="00543571">
                              <w:pPr>
                                <w:pStyle w:val="Header"/>
                                <w:rPr>
                                  <w:caps/>
                                  <w:color w:val="FFFFFF" w:themeColor="background1"/>
                                </w:rPr>
                              </w:pPr>
                              <w:r w:rsidRPr="00543571">
                                <w:rPr>
                                  <w:rFonts w:asciiTheme="minorHAnsi" w:hAnsiTheme="minorHAnsi" w:cstheme="minorHAnsi"/>
                                  <w:b/>
                                  <w:caps/>
                                  <w:color w:val="FFFFFF" w:themeColor="background1"/>
                                  <w:sz w:val="32"/>
                                  <w:szCs w:val="32"/>
                                </w:rPr>
                                <w:t xml:space="preserve">Northern Ireland Housing Bulletin </w:t>
                              </w:r>
                              <w:r>
                                <w:rPr>
                                  <w:rFonts w:asciiTheme="minorHAnsi" w:hAnsiTheme="minorHAnsi" w:cstheme="minorHAnsi"/>
                                  <w:b/>
                                  <w:caps/>
                                  <w:color w:val="FFFFFF" w:themeColor="background1"/>
                                  <w:sz w:val="32"/>
                                  <w:szCs w:val="32"/>
                                </w:rPr>
                                <w:t>Appendix</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5D5822D3" id="Rectangle 197" o:spid="_x0000_s1026" style="width:468.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" fillcolor="#7030a0" stroked="f" strokeweight="2pt">
              <v:textbox style="mso-fit-shape-to-text:t">
                <w:txbxContent>
                  <w:sdt>
                    <w:sdtPr>
                      <w:rPr>
                        <w:rFonts w:asciiTheme="minorHAnsi" w:hAnsiTheme="minorHAnsi" w:cstheme="minorHAnsi"/>
                        <w:b/>
                        <w:caps/>
                        <w:color w:val="FFFFFF" w:themeColor="background1"/>
                        <w:sz w:val="32"/>
                        <w:szCs w:val="32"/>
                      </w:rPr>
                      <w:alias w:val="Title"/>
                      <w:tag w:val=""/>
                      <w:id w:val="1557355130"/>
                      <w:dataBinding w:prefixMappings="xmlns:ns0='http://purl.org/dc/elements/1.1/' xmlns:ns1='http://schemas.openxmlformats.org/package/2006/metadata/core-properties' " w:xpath="/ns1:coreProperties[1]/ns0:title[1]" w:storeItemID="{6C3C8BC8-F283-45AE-878A-BAB7291924A1}"/>
                      <w:text/>
                    </w:sdtPr>
                    <w:sdtContent>
                      <w:p w14:paraId="29BA6D05" w14:textId="77777777" w:rsidR="00543571" w:rsidRDefault="00543571" w:rsidP="00543571">
                        <w:pPr>
                          <w:pStyle w:val="Header"/>
                          <w:rPr>
                            <w:caps/>
                            <w:color w:val="FFFFFF" w:themeColor="background1"/>
                          </w:rPr>
                        </w:pPr>
                        <w:r w:rsidRPr="00543571">
                          <w:rPr>
                            <w:rFonts w:asciiTheme="minorHAnsi" w:hAnsiTheme="minorHAnsi" w:cstheme="minorHAnsi"/>
                            <w:b/>
                            <w:caps/>
                            <w:color w:val="FFFFFF" w:themeColor="background1"/>
                            <w:sz w:val="32"/>
                            <w:szCs w:val="32"/>
                          </w:rPr>
                          <w:t xml:space="preserve">Northern Ireland Housing Bulletin </w:t>
                        </w:r>
                        <w:r>
                          <w:rPr>
                            <w:rFonts w:asciiTheme="minorHAnsi" w:hAnsiTheme="minorHAnsi" w:cstheme="minorHAnsi"/>
                            <w:b/>
                            <w:caps/>
                            <w:color w:val="FFFFFF" w:themeColor="background1"/>
                            <w:sz w:val="32"/>
                            <w:szCs w:val="32"/>
                          </w:rPr>
                          <w:t>Appendix</w:t>
                        </w:r>
                      </w:p>
                    </w:sdtContent>
                  </w:sdt>
                </w:txbxContent>
              </v:textbox>
              <w10:anchorlock/>
            </v:rect>
          </w:pict>
        </mc:Fallback>
      </mc:AlternateContent>
    </w:r>
  </w:p>
  <w:p w14:paraId="1A4AB1D8" w14:textId="77777777" w:rsidR="00706783" w:rsidRDefault="00706783"/>
  <w:p w14:paraId="3E9558F3" w14:textId="77777777" w:rsidR="00706783" w:rsidRDefault="00706783" w:rsidP="002210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8E94" w14:textId="7AE29BB5" w:rsidR="00113288" w:rsidRDefault="00113288">
    <w:pPr>
      <w:pStyle w:val="Header"/>
    </w:pPr>
    <w:r>
      <w:rPr>
        <w:noProof/>
      </w:rPr>
      <mc:AlternateContent>
        <mc:Choice Requires="wps">
          <w:drawing>
            <wp:inline distT="0" distB="0" distL="0" distR="0" wp14:anchorId="627C7A32" wp14:editId="43CE29AB">
              <wp:extent cx="5731510" cy="351720"/>
              <wp:effectExtent l="0" t="0" r="2540" b="3810"/>
              <wp:docPr id="830943605" name="Rectangle 830943605"/>
              <wp:cNvGraphicFramePr/>
              <a:graphic xmlns:a="http://schemas.openxmlformats.org/drawingml/2006/main">
                <a:graphicData uri="http://schemas.microsoft.com/office/word/2010/wordprocessingShape">
                  <wps:wsp>
                    <wps:cNvSpPr/>
                    <wps:spPr>
                      <a:xfrm>
                        <a:off x="0" y="0"/>
                        <a:ext cx="5731510" cy="351720"/>
                      </a:xfrm>
                      <a:prstGeom prst="rect">
                        <a:avLst/>
                      </a:prstGeom>
                      <a:solidFill>
                        <a:srgbClr val="7030A0"/>
                      </a:solidFill>
                      <a:ln w="25400" cap="flat" cmpd="sng" algn="ctr">
                        <a:noFill/>
                        <a:prstDash val="solid"/>
                      </a:ln>
                      <a:effectLst/>
                    </wps:spPr>
                    <wps:txbx>
                      <w:txbxContent>
                        <w:sdt>
                          <w:sdtPr>
                            <w:rPr>
                              <w:rFonts w:asciiTheme="minorHAnsi" w:hAnsiTheme="minorHAnsi" w:cstheme="minorHAnsi"/>
                              <w:b/>
                              <w:caps/>
                              <w:color w:val="FFFFFF" w:themeColor="background1"/>
                              <w:sz w:val="32"/>
                              <w:szCs w:val="32"/>
                            </w:rPr>
                            <w:alias w:val="Title"/>
                            <w:tag w:val=""/>
                            <w:id w:val="81110549"/>
                            <w:dataBinding w:prefixMappings="xmlns:ns0='http://purl.org/dc/elements/1.1/' xmlns:ns1='http://schemas.openxmlformats.org/package/2006/metadata/core-properties' " w:xpath="/ns1:coreProperties[1]/ns0:title[1]" w:storeItemID="{6C3C8BC8-F283-45AE-878A-BAB7291924A1}"/>
                            <w:text/>
                          </w:sdtPr>
                          <w:sdtContent>
                            <w:p w14:paraId="63A9D503" w14:textId="4C7B5D79" w:rsidR="00113288" w:rsidRDefault="00113288" w:rsidP="00113288">
                              <w:pPr>
                                <w:pStyle w:val="Header"/>
                                <w:rPr>
                                  <w:caps/>
                                  <w:color w:val="FFFFFF" w:themeColor="background1"/>
                                </w:rPr>
                              </w:pPr>
                              <w:r>
                                <w:rPr>
                                  <w:rFonts w:asciiTheme="minorHAnsi" w:hAnsiTheme="minorHAnsi" w:cstheme="minorHAnsi"/>
                                  <w:b/>
                                  <w:caps/>
                                  <w:color w:val="FFFFFF" w:themeColor="background1"/>
                                  <w:sz w:val="32"/>
                                  <w:szCs w:val="32"/>
                                </w:rPr>
                                <w:t>Northern Ireland Housing Bulletin Appendix</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627C7A32" id="Rectangle 830943605" o:spid="_x0000_s1027" style="width:451.3pt;height:27.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" fillcolor="#7030a0" stroked="f" strokeweight="2pt">
              <v:textbox style="mso-fit-shape-to-text:t">
                <w:txbxContent>
                  <w:sdt>
                    <w:sdtPr>
                      <w:rPr>
                        <w:rFonts w:asciiTheme="minorHAnsi" w:hAnsiTheme="minorHAnsi" w:cstheme="minorHAnsi"/>
                        <w:b/>
                        <w:caps/>
                        <w:color w:val="FFFFFF" w:themeColor="background1"/>
                        <w:sz w:val="32"/>
                        <w:szCs w:val="32"/>
                      </w:rPr>
                      <w:alias w:val="Title"/>
                      <w:tag w:val=""/>
                      <w:id w:val="81110549"/>
                      <w:dataBinding w:prefixMappings="xmlns:ns0='http://purl.org/dc/elements/1.1/' xmlns:ns1='http://schemas.openxmlformats.org/package/2006/metadata/core-properties' " w:xpath="/ns1:coreProperties[1]/ns0:title[1]" w:storeItemID="{6C3C8BC8-F283-45AE-878A-BAB7291924A1}"/>
                      <w:text/>
                    </w:sdtPr>
                    <w:sdtContent>
                      <w:p w14:paraId="63A9D503" w14:textId="4C7B5D79" w:rsidR="00113288" w:rsidRDefault="00113288" w:rsidP="00113288">
                        <w:pPr>
                          <w:pStyle w:val="Header"/>
                          <w:rPr>
                            <w:caps/>
                            <w:color w:val="FFFFFF" w:themeColor="background1"/>
                          </w:rPr>
                        </w:pPr>
                        <w:r>
                          <w:rPr>
                            <w:rFonts w:asciiTheme="minorHAnsi" w:hAnsiTheme="minorHAnsi" w:cstheme="minorHAnsi"/>
                            <w:b/>
                            <w:caps/>
                            <w:color w:val="FFFFFF" w:themeColor="background1"/>
                            <w:sz w:val="32"/>
                            <w:szCs w:val="32"/>
                          </w:rPr>
                          <w:t>Northern Ireland Housing Bulletin Appendix</w:t>
                        </w:r>
                      </w:p>
                    </w:sdtContent>
                  </w:sdt>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529"/>
    <w:multiLevelType w:val="hybridMultilevel"/>
    <w:tmpl w:val="2854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E27C94"/>
    <w:multiLevelType w:val="hybridMultilevel"/>
    <w:tmpl w:val="162C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16DAD"/>
    <w:multiLevelType w:val="hybridMultilevel"/>
    <w:tmpl w:val="9B267254"/>
    <w:lvl w:ilvl="0" w:tplc="9BB8718E">
      <w:start w:val="1"/>
      <w:numFmt w:val="bullet"/>
      <w:lvlText w:val=""/>
      <w:lvlJc w:val="left"/>
      <w:pPr>
        <w:tabs>
          <w:tab w:val="num" w:pos="720"/>
        </w:tabs>
        <w:ind w:left="720" w:hanging="360"/>
      </w:pPr>
      <w:rPr>
        <w:rFonts w:ascii="Symbol" w:hAnsi="Symbol" w:hint="default"/>
      </w:rPr>
    </w:lvl>
    <w:lvl w:ilvl="1" w:tplc="CD2A69AE" w:tentative="1">
      <w:start w:val="1"/>
      <w:numFmt w:val="bullet"/>
      <w:lvlText w:val=""/>
      <w:lvlJc w:val="left"/>
      <w:pPr>
        <w:tabs>
          <w:tab w:val="num" w:pos="1440"/>
        </w:tabs>
        <w:ind w:left="1440" w:hanging="360"/>
      </w:pPr>
      <w:rPr>
        <w:rFonts w:ascii="Symbol" w:hAnsi="Symbol" w:hint="default"/>
      </w:rPr>
    </w:lvl>
    <w:lvl w:ilvl="2" w:tplc="A70AA432" w:tentative="1">
      <w:start w:val="1"/>
      <w:numFmt w:val="bullet"/>
      <w:lvlText w:val=""/>
      <w:lvlJc w:val="left"/>
      <w:pPr>
        <w:tabs>
          <w:tab w:val="num" w:pos="2160"/>
        </w:tabs>
        <w:ind w:left="2160" w:hanging="360"/>
      </w:pPr>
      <w:rPr>
        <w:rFonts w:ascii="Symbol" w:hAnsi="Symbol" w:hint="default"/>
      </w:rPr>
    </w:lvl>
    <w:lvl w:ilvl="3" w:tplc="BCBCFCE4" w:tentative="1">
      <w:start w:val="1"/>
      <w:numFmt w:val="bullet"/>
      <w:lvlText w:val=""/>
      <w:lvlJc w:val="left"/>
      <w:pPr>
        <w:tabs>
          <w:tab w:val="num" w:pos="2880"/>
        </w:tabs>
        <w:ind w:left="2880" w:hanging="360"/>
      </w:pPr>
      <w:rPr>
        <w:rFonts w:ascii="Symbol" w:hAnsi="Symbol" w:hint="default"/>
      </w:rPr>
    </w:lvl>
    <w:lvl w:ilvl="4" w:tplc="53428CB6" w:tentative="1">
      <w:start w:val="1"/>
      <w:numFmt w:val="bullet"/>
      <w:lvlText w:val=""/>
      <w:lvlJc w:val="left"/>
      <w:pPr>
        <w:tabs>
          <w:tab w:val="num" w:pos="3600"/>
        </w:tabs>
        <w:ind w:left="3600" w:hanging="360"/>
      </w:pPr>
      <w:rPr>
        <w:rFonts w:ascii="Symbol" w:hAnsi="Symbol" w:hint="default"/>
      </w:rPr>
    </w:lvl>
    <w:lvl w:ilvl="5" w:tplc="B440B25E" w:tentative="1">
      <w:start w:val="1"/>
      <w:numFmt w:val="bullet"/>
      <w:lvlText w:val=""/>
      <w:lvlJc w:val="left"/>
      <w:pPr>
        <w:tabs>
          <w:tab w:val="num" w:pos="4320"/>
        </w:tabs>
        <w:ind w:left="4320" w:hanging="360"/>
      </w:pPr>
      <w:rPr>
        <w:rFonts w:ascii="Symbol" w:hAnsi="Symbol" w:hint="default"/>
      </w:rPr>
    </w:lvl>
    <w:lvl w:ilvl="6" w:tplc="71D0BB1C" w:tentative="1">
      <w:start w:val="1"/>
      <w:numFmt w:val="bullet"/>
      <w:lvlText w:val=""/>
      <w:lvlJc w:val="left"/>
      <w:pPr>
        <w:tabs>
          <w:tab w:val="num" w:pos="5040"/>
        </w:tabs>
        <w:ind w:left="5040" w:hanging="360"/>
      </w:pPr>
      <w:rPr>
        <w:rFonts w:ascii="Symbol" w:hAnsi="Symbol" w:hint="default"/>
      </w:rPr>
    </w:lvl>
    <w:lvl w:ilvl="7" w:tplc="C4AEE014" w:tentative="1">
      <w:start w:val="1"/>
      <w:numFmt w:val="bullet"/>
      <w:lvlText w:val=""/>
      <w:lvlJc w:val="left"/>
      <w:pPr>
        <w:tabs>
          <w:tab w:val="num" w:pos="5760"/>
        </w:tabs>
        <w:ind w:left="5760" w:hanging="360"/>
      </w:pPr>
      <w:rPr>
        <w:rFonts w:ascii="Symbol" w:hAnsi="Symbol" w:hint="default"/>
      </w:rPr>
    </w:lvl>
    <w:lvl w:ilvl="8" w:tplc="EFB4660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65949B7"/>
    <w:multiLevelType w:val="hybridMultilevel"/>
    <w:tmpl w:val="5860F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097582C"/>
    <w:multiLevelType w:val="hybridMultilevel"/>
    <w:tmpl w:val="D3C247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4235096"/>
    <w:multiLevelType w:val="hybridMultilevel"/>
    <w:tmpl w:val="21841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1C11F7"/>
    <w:multiLevelType w:val="hybridMultilevel"/>
    <w:tmpl w:val="E954D2A8"/>
    <w:lvl w:ilvl="0" w:tplc="35F68FC2">
      <w:start w:val="1"/>
      <w:numFmt w:val="decimal"/>
      <w:pStyle w:val="Style1"/>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5A6B1E"/>
    <w:multiLevelType w:val="hybridMultilevel"/>
    <w:tmpl w:val="34AE59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6E951BF7"/>
    <w:multiLevelType w:val="multilevel"/>
    <w:tmpl w:val="6E3EC948"/>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D36714"/>
    <w:multiLevelType w:val="hybridMultilevel"/>
    <w:tmpl w:val="8CCA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5802299">
    <w:abstractNumId w:val="8"/>
  </w:num>
  <w:num w:numId="2" w16cid:durableId="1847943761">
    <w:abstractNumId w:val="3"/>
  </w:num>
  <w:num w:numId="3" w16cid:durableId="955795806">
    <w:abstractNumId w:val="0"/>
  </w:num>
  <w:num w:numId="4" w16cid:durableId="1894657983">
    <w:abstractNumId w:val="8"/>
  </w:num>
  <w:num w:numId="5" w16cid:durableId="920061946">
    <w:abstractNumId w:val="3"/>
  </w:num>
  <w:num w:numId="6" w16cid:durableId="1358458464">
    <w:abstractNumId w:val="8"/>
  </w:num>
  <w:num w:numId="7" w16cid:durableId="178543953">
    <w:abstractNumId w:val="5"/>
  </w:num>
  <w:num w:numId="8" w16cid:durableId="1486239291">
    <w:abstractNumId w:val="4"/>
  </w:num>
  <w:num w:numId="9" w16cid:durableId="1148980079">
    <w:abstractNumId w:val="9"/>
  </w:num>
  <w:num w:numId="10" w16cid:durableId="1213074399">
    <w:abstractNumId w:val="6"/>
  </w:num>
  <w:num w:numId="11" w16cid:durableId="866530315">
    <w:abstractNumId w:val="2"/>
  </w:num>
  <w:num w:numId="12" w16cid:durableId="683674684">
    <w:abstractNumId w:val="1"/>
  </w:num>
  <w:num w:numId="13" w16cid:durableId="960192227">
    <w:abstractNumId w:val="7"/>
  </w:num>
  <w:num w:numId="14" w16cid:durableId="279461665">
    <w:abstractNumId w:val="1"/>
  </w:num>
  <w:num w:numId="15" w16cid:durableId="1826316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6635BD"/>
    <w:rsid w:val="00014D12"/>
    <w:rsid w:val="00051683"/>
    <w:rsid w:val="00061E43"/>
    <w:rsid w:val="0006428D"/>
    <w:rsid w:val="00093733"/>
    <w:rsid w:val="000953B6"/>
    <w:rsid w:val="000A0543"/>
    <w:rsid w:val="000A65A6"/>
    <w:rsid w:val="000A79EA"/>
    <w:rsid w:val="000B089C"/>
    <w:rsid w:val="000B4C4B"/>
    <w:rsid w:val="000C5F65"/>
    <w:rsid w:val="000E1BE1"/>
    <w:rsid w:val="000F07D9"/>
    <w:rsid w:val="000F4761"/>
    <w:rsid w:val="00106EE8"/>
    <w:rsid w:val="00113288"/>
    <w:rsid w:val="00130EAB"/>
    <w:rsid w:val="00163CAB"/>
    <w:rsid w:val="0016560C"/>
    <w:rsid w:val="001663F9"/>
    <w:rsid w:val="0016644D"/>
    <w:rsid w:val="00190007"/>
    <w:rsid w:val="0019773D"/>
    <w:rsid w:val="001A0EBE"/>
    <w:rsid w:val="001C4FDC"/>
    <w:rsid w:val="001C7246"/>
    <w:rsid w:val="001F63B0"/>
    <w:rsid w:val="002033BF"/>
    <w:rsid w:val="00214062"/>
    <w:rsid w:val="0022106B"/>
    <w:rsid w:val="00226339"/>
    <w:rsid w:val="002330AC"/>
    <w:rsid w:val="00250070"/>
    <w:rsid w:val="0025448D"/>
    <w:rsid w:val="00256321"/>
    <w:rsid w:val="002601B6"/>
    <w:rsid w:val="00267FEF"/>
    <w:rsid w:val="0027370B"/>
    <w:rsid w:val="00273FCF"/>
    <w:rsid w:val="00285074"/>
    <w:rsid w:val="0028601F"/>
    <w:rsid w:val="00295BCE"/>
    <w:rsid w:val="002B297A"/>
    <w:rsid w:val="002D460A"/>
    <w:rsid w:val="002D5C09"/>
    <w:rsid w:val="002D718F"/>
    <w:rsid w:val="002E019D"/>
    <w:rsid w:val="002F0FA4"/>
    <w:rsid w:val="00315BF7"/>
    <w:rsid w:val="00320BA1"/>
    <w:rsid w:val="0032600F"/>
    <w:rsid w:val="00360653"/>
    <w:rsid w:val="00377739"/>
    <w:rsid w:val="003861FA"/>
    <w:rsid w:val="00393A9F"/>
    <w:rsid w:val="003C2D52"/>
    <w:rsid w:val="003D3FE8"/>
    <w:rsid w:val="003E625D"/>
    <w:rsid w:val="003F052F"/>
    <w:rsid w:val="003F1261"/>
    <w:rsid w:val="003F51CC"/>
    <w:rsid w:val="003F7CC0"/>
    <w:rsid w:val="00406BE5"/>
    <w:rsid w:val="00411F9C"/>
    <w:rsid w:val="0041612D"/>
    <w:rsid w:val="0043008D"/>
    <w:rsid w:val="004364FA"/>
    <w:rsid w:val="00440FFD"/>
    <w:rsid w:val="0045437E"/>
    <w:rsid w:val="0045574F"/>
    <w:rsid w:val="00457744"/>
    <w:rsid w:val="00467D98"/>
    <w:rsid w:val="0049581B"/>
    <w:rsid w:val="004A0790"/>
    <w:rsid w:val="004A5624"/>
    <w:rsid w:val="004B1DD4"/>
    <w:rsid w:val="004B4247"/>
    <w:rsid w:val="004D5562"/>
    <w:rsid w:val="004D5EFE"/>
    <w:rsid w:val="004F7A11"/>
    <w:rsid w:val="00501E83"/>
    <w:rsid w:val="0050612C"/>
    <w:rsid w:val="00507450"/>
    <w:rsid w:val="005110D0"/>
    <w:rsid w:val="00517ABA"/>
    <w:rsid w:val="005201CB"/>
    <w:rsid w:val="0052351A"/>
    <w:rsid w:val="005322B5"/>
    <w:rsid w:val="00543571"/>
    <w:rsid w:val="00580C4A"/>
    <w:rsid w:val="005875DE"/>
    <w:rsid w:val="005A0537"/>
    <w:rsid w:val="005A064B"/>
    <w:rsid w:val="005A0676"/>
    <w:rsid w:val="005A1427"/>
    <w:rsid w:val="005A68CD"/>
    <w:rsid w:val="005B164E"/>
    <w:rsid w:val="005B4A55"/>
    <w:rsid w:val="005C02D6"/>
    <w:rsid w:val="005D049B"/>
    <w:rsid w:val="005E75B2"/>
    <w:rsid w:val="005F5892"/>
    <w:rsid w:val="005F5CC8"/>
    <w:rsid w:val="005F6EF4"/>
    <w:rsid w:val="00602B8B"/>
    <w:rsid w:val="00630E9D"/>
    <w:rsid w:val="00633448"/>
    <w:rsid w:val="00633FB5"/>
    <w:rsid w:val="006443A8"/>
    <w:rsid w:val="006561FD"/>
    <w:rsid w:val="006635BD"/>
    <w:rsid w:val="00663AFB"/>
    <w:rsid w:val="00663E8E"/>
    <w:rsid w:val="006670C9"/>
    <w:rsid w:val="00675E7B"/>
    <w:rsid w:val="00686C4D"/>
    <w:rsid w:val="00696C62"/>
    <w:rsid w:val="006D217F"/>
    <w:rsid w:val="006E44B2"/>
    <w:rsid w:val="006F4967"/>
    <w:rsid w:val="00706783"/>
    <w:rsid w:val="0071695A"/>
    <w:rsid w:val="00731695"/>
    <w:rsid w:val="00753D42"/>
    <w:rsid w:val="00770675"/>
    <w:rsid w:val="0078035D"/>
    <w:rsid w:val="007A20B2"/>
    <w:rsid w:val="007B00AF"/>
    <w:rsid w:val="007C023F"/>
    <w:rsid w:val="007C6476"/>
    <w:rsid w:val="007E4380"/>
    <w:rsid w:val="007E53B7"/>
    <w:rsid w:val="00822126"/>
    <w:rsid w:val="00837D81"/>
    <w:rsid w:val="00840D5B"/>
    <w:rsid w:val="00851741"/>
    <w:rsid w:val="008530CA"/>
    <w:rsid w:val="00855756"/>
    <w:rsid w:val="008574D5"/>
    <w:rsid w:val="0085794B"/>
    <w:rsid w:val="0086004C"/>
    <w:rsid w:val="008A4B5C"/>
    <w:rsid w:val="008D3D42"/>
    <w:rsid w:val="008E1562"/>
    <w:rsid w:val="008E3C72"/>
    <w:rsid w:val="008E531D"/>
    <w:rsid w:val="008F2692"/>
    <w:rsid w:val="008F6FF1"/>
    <w:rsid w:val="00906003"/>
    <w:rsid w:val="00925C99"/>
    <w:rsid w:val="009310D2"/>
    <w:rsid w:val="00945BF9"/>
    <w:rsid w:val="00956DA7"/>
    <w:rsid w:val="00957653"/>
    <w:rsid w:val="00957BF2"/>
    <w:rsid w:val="00964443"/>
    <w:rsid w:val="00964544"/>
    <w:rsid w:val="0098646B"/>
    <w:rsid w:val="00997E57"/>
    <w:rsid w:val="009C3690"/>
    <w:rsid w:val="009C3C7F"/>
    <w:rsid w:val="009C446F"/>
    <w:rsid w:val="009F70F3"/>
    <w:rsid w:val="00A21085"/>
    <w:rsid w:val="00A3505F"/>
    <w:rsid w:val="00A371FC"/>
    <w:rsid w:val="00A37937"/>
    <w:rsid w:val="00A46488"/>
    <w:rsid w:val="00A60F16"/>
    <w:rsid w:val="00A64EE8"/>
    <w:rsid w:val="00A73DE3"/>
    <w:rsid w:val="00A82D97"/>
    <w:rsid w:val="00A92ECE"/>
    <w:rsid w:val="00AD340E"/>
    <w:rsid w:val="00B34CF3"/>
    <w:rsid w:val="00B36CBE"/>
    <w:rsid w:val="00B40362"/>
    <w:rsid w:val="00B5113B"/>
    <w:rsid w:val="00B65162"/>
    <w:rsid w:val="00B701B9"/>
    <w:rsid w:val="00B864B3"/>
    <w:rsid w:val="00B9365A"/>
    <w:rsid w:val="00B97593"/>
    <w:rsid w:val="00B97CA9"/>
    <w:rsid w:val="00BE0019"/>
    <w:rsid w:val="00BE4BA5"/>
    <w:rsid w:val="00BF5F85"/>
    <w:rsid w:val="00C15466"/>
    <w:rsid w:val="00C21A2B"/>
    <w:rsid w:val="00C329AF"/>
    <w:rsid w:val="00C34B2F"/>
    <w:rsid w:val="00C53760"/>
    <w:rsid w:val="00C649E9"/>
    <w:rsid w:val="00C65813"/>
    <w:rsid w:val="00C67E13"/>
    <w:rsid w:val="00C851D2"/>
    <w:rsid w:val="00C85BBA"/>
    <w:rsid w:val="00C85FE4"/>
    <w:rsid w:val="00CA1503"/>
    <w:rsid w:val="00CA56E5"/>
    <w:rsid w:val="00CB6F59"/>
    <w:rsid w:val="00CB75DF"/>
    <w:rsid w:val="00CC06F6"/>
    <w:rsid w:val="00CC435E"/>
    <w:rsid w:val="00CC6EA3"/>
    <w:rsid w:val="00CD1F13"/>
    <w:rsid w:val="00D11694"/>
    <w:rsid w:val="00D277CD"/>
    <w:rsid w:val="00D32B4D"/>
    <w:rsid w:val="00D41F2E"/>
    <w:rsid w:val="00D50603"/>
    <w:rsid w:val="00D52CF1"/>
    <w:rsid w:val="00D56B92"/>
    <w:rsid w:val="00D67F55"/>
    <w:rsid w:val="00D81664"/>
    <w:rsid w:val="00D81FBB"/>
    <w:rsid w:val="00D9253B"/>
    <w:rsid w:val="00DA2FB4"/>
    <w:rsid w:val="00DA4D6B"/>
    <w:rsid w:val="00DA56E6"/>
    <w:rsid w:val="00DB5875"/>
    <w:rsid w:val="00DC3AB9"/>
    <w:rsid w:val="00DD60BB"/>
    <w:rsid w:val="00DD70A0"/>
    <w:rsid w:val="00DE2CD0"/>
    <w:rsid w:val="00DF08E6"/>
    <w:rsid w:val="00DF0D11"/>
    <w:rsid w:val="00DF4685"/>
    <w:rsid w:val="00DF5D20"/>
    <w:rsid w:val="00DF63E9"/>
    <w:rsid w:val="00E15DAE"/>
    <w:rsid w:val="00E24659"/>
    <w:rsid w:val="00E2472D"/>
    <w:rsid w:val="00E352D9"/>
    <w:rsid w:val="00E435C5"/>
    <w:rsid w:val="00E445E7"/>
    <w:rsid w:val="00E50312"/>
    <w:rsid w:val="00E54019"/>
    <w:rsid w:val="00E756A0"/>
    <w:rsid w:val="00E76CCF"/>
    <w:rsid w:val="00E778ED"/>
    <w:rsid w:val="00E8232C"/>
    <w:rsid w:val="00E905EE"/>
    <w:rsid w:val="00EB2817"/>
    <w:rsid w:val="00ED2EDD"/>
    <w:rsid w:val="00EE367E"/>
    <w:rsid w:val="00EE7FF0"/>
    <w:rsid w:val="00F01343"/>
    <w:rsid w:val="00F074D7"/>
    <w:rsid w:val="00F13834"/>
    <w:rsid w:val="00F40695"/>
    <w:rsid w:val="00F51AF0"/>
    <w:rsid w:val="00F62086"/>
    <w:rsid w:val="00F73518"/>
    <w:rsid w:val="00F81510"/>
    <w:rsid w:val="00FD4243"/>
    <w:rsid w:val="00FE369B"/>
    <w:rsid w:val="00FE5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AA21D"/>
  <w15:docId w15:val="{26693F04-C12E-404F-A624-3FCC50BC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5BD"/>
    <w:pPr>
      <w:spacing w:after="0" w:line="240" w:lineRule="auto"/>
    </w:pPr>
    <w:rPr>
      <w:rFonts w:ascii="Times New Roman" w:eastAsia="Times New Roman" w:hAnsi="Times New Roman" w:cs="Times New Roman"/>
      <w:color w:val="000080"/>
      <w:kern w:val="28"/>
      <w:sz w:val="20"/>
      <w:szCs w:val="20"/>
      <w:lang w:eastAsia="en-GB"/>
    </w:rPr>
  </w:style>
  <w:style w:type="paragraph" w:styleId="Heading1">
    <w:name w:val="heading 1"/>
    <w:basedOn w:val="Normal"/>
    <w:next w:val="Normal"/>
    <w:link w:val="Heading1Char"/>
    <w:uiPriority w:val="9"/>
    <w:qFormat/>
    <w:rsid w:val="0098646B"/>
    <w:pPr>
      <w:keepNext/>
      <w:keepLines/>
      <w:spacing w:before="240"/>
      <w:outlineLvl w:val="0"/>
    </w:pPr>
    <w:rPr>
      <w:rFonts w:ascii="Arial" w:eastAsiaTheme="majorEastAsia" w:hAnsi="Arial" w:cstheme="majorBidi"/>
      <w:b/>
      <w:color w:val="auto"/>
      <w:sz w:val="26"/>
      <w:szCs w:val="32"/>
    </w:rPr>
  </w:style>
  <w:style w:type="paragraph" w:styleId="Heading2">
    <w:name w:val="heading 2"/>
    <w:basedOn w:val="Normal"/>
    <w:next w:val="Normal"/>
    <w:link w:val="Heading2Char"/>
    <w:autoRedefine/>
    <w:uiPriority w:val="9"/>
    <w:unhideWhenUsed/>
    <w:qFormat/>
    <w:rsid w:val="0098646B"/>
    <w:pPr>
      <w:keepNext/>
      <w:keepLines/>
      <w:spacing w:before="40"/>
      <w:outlineLvl w:val="1"/>
    </w:pPr>
    <w:rPr>
      <w:rFonts w:ascii="Arial" w:eastAsiaTheme="majorEastAsia" w:hAnsi="Arial" w:cstheme="majorBidi"/>
      <w:b/>
      <w:color w:val="auto"/>
      <w:sz w:val="24"/>
      <w:szCs w:val="26"/>
    </w:rPr>
  </w:style>
  <w:style w:type="paragraph" w:styleId="Heading3">
    <w:name w:val="heading 3"/>
    <w:basedOn w:val="Heading2"/>
    <w:next w:val="Normal"/>
    <w:link w:val="Heading3Char"/>
    <w:uiPriority w:val="9"/>
    <w:unhideWhenUsed/>
    <w:qFormat/>
    <w:rsid w:val="00543571"/>
    <w:pPr>
      <w:outlineLvl w:val="2"/>
    </w:pPr>
  </w:style>
  <w:style w:type="paragraph" w:styleId="Heading4">
    <w:name w:val="heading 4"/>
    <w:basedOn w:val="Heading1"/>
    <w:next w:val="Normal"/>
    <w:link w:val="Heading4Char"/>
    <w:uiPriority w:val="9"/>
    <w:unhideWhenUsed/>
    <w:qFormat/>
    <w:rsid w:val="00543571"/>
    <w:pPr>
      <w:outlineLvl w:val="3"/>
    </w:pPr>
  </w:style>
  <w:style w:type="paragraph" w:styleId="Heading5">
    <w:name w:val="heading 5"/>
    <w:basedOn w:val="Heading2"/>
    <w:next w:val="Normal"/>
    <w:link w:val="Heading5Char"/>
    <w:uiPriority w:val="9"/>
    <w:unhideWhenUsed/>
    <w:qFormat/>
    <w:rsid w:val="00543571"/>
    <w:pPr>
      <w:outlineLvl w:val="4"/>
    </w:pPr>
  </w:style>
  <w:style w:type="paragraph" w:styleId="Heading6">
    <w:name w:val="heading 6"/>
    <w:basedOn w:val="Heading1"/>
    <w:next w:val="Normal"/>
    <w:link w:val="Heading6Char"/>
    <w:uiPriority w:val="9"/>
    <w:unhideWhenUsed/>
    <w:qFormat/>
    <w:rsid w:val="00543571"/>
    <w:pPr>
      <w:outlineLvl w:val="5"/>
    </w:pPr>
  </w:style>
  <w:style w:type="paragraph" w:styleId="Heading7">
    <w:name w:val="heading 7"/>
    <w:basedOn w:val="Heading2"/>
    <w:next w:val="Normal"/>
    <w:link w:val="Heading7Char"/>
    <w:uiPriority w:val="9"/>
    <w:unhideWhenUsed/>
    <w:qFormat/>
    <w:rsid w:val="00543571"/>
    <w:pPr>
      <w:outlineLvl w:val="6"/>
    </w:pPr>
  </w:style>
  <w:style w:type="paragraph" w:styleId="Heading8">
    <w:name w:val="heading 8"/>
    <w:basedOn w:val="Heading2"/>
    <w:next w:val="Normal"/>
    <w:link w:val="Heading8Char"/>
    <w:uiPriority w:val="9"/>
    <w:unhideWhenUsed/>
    <w:qFormat/>
    <w:rsid w:val="00543571"/>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635B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rsid w:val="006635BD"/>
    <w:rPr>
      <w:color w:val="0000FF"/>
      <w:u w:val="single"/>
    </w:rPr>
  </w:style>
  <w:style w:type="paragraph" w:styleId="ListParagraph">
    <w:name w:val="List Paragraph"/>
    <w:basedOn w:val="Normal"/>
    <w:uiPriority w:val="34"/>
    <w:qFormat/>
    <w:rsid w:val="006635BD"/>
    <w:pPr>
      <w:ind w:left="720"/>
    </w:pPr>
    <w:rPr>
      <w:color w:val="auto"/>
      <w:kern w:val="0"/>
      <w:sz w:val="24"/>
      <w:szCs w:val="24"/>
    </w:rPr>
  </w:style>
  <w:style w:type="paragraph" w:customStyle="1" w:styleId="pleft">
    <w:name w:val="pleft"/>
    <w:basedOn w:val="Normal"/>
    <w:rsid w:val="006635BD"/>
    <w:pPr>
      <w:spacing w:before="100" w:beforeAutospacing="1" w:after="100" w:afterAutospacing="1"/>
    </w:pPr>
    <w:rPr>
      <w:color w:val="auto"/>
      <w:kern w:val="0"/>
      <w:sz w:val="24"/>
      <w:szCs w:val="24"/>
    </w:rPr>
  </w:style>
  <w:style w:type="paragraph" w:styleId="BodyText">
    <w:name w:val="Body Text"/>
    <w:basedOn w:val="Normal"/>
    <w:link w:val="BodyTextChar"/>
    <w:uiPriority w:val="99"/>
    <w:unhideWhenUsed/>
    <w:rsid w:val="006635BD"/>
    <w:pPr>
      <w:autoSpaceDE w:val="0"/>
      <w:autoSpaceDN w:val="0"/>
    </w:pPr>
    <w:rPr>
      <w:rFonts w:ascii="Century Gothic" w:eastAsia="Calibri" w:hAnsi="Century Gothic"/>
      <w:color w:val="auto"/>
      <w:kern w:val="0"/>
      <w:sz w:val="24"/>
      <w:szCs w:val="24"/>
    </w:rPr>
  </w:style>
  <w:style w:type="character" w:customStyle="1" w:styleId="BodyTextChar">
    <w:name w:val="Body Text Char"/>
    <w:basedOn w:val="DefaultParagraphFont"/>
    <w:link w:val="BodyText"/>
    <w:uiPriority w:val="99"/>
    <w:rsid w:val="006635BD"/>
    <w:rPr>
      <w:rFonts w:ascii="Century Gothic" w:eastAsia="Calibri" w:hAnsi="Century Gothic" w:cs="Times New Roman"/>
      <w:sz w:val="24"/>
      <w:szCs w:val="24"/>
      <w:lang w:eastAsia="en-GB"/>
    </w:rPr>
  </w:style>
  <w:style w:type="paragraph" w:styleId="Header">
    <w:name w:val="header"/>
    <w:basedOn w:val="Normal"/>
    <w:link w:val="HeaderChar"/>
    <w:uiPriority w:val="99"/>
    <w:unhideWhenUsed/>
    <w:rsid w:val="00F13834"/>
    <w:pPr>
      <w:tabs>
        <w:tab w:val="center" w:pos="4513"/>
        <w:tab w:val="right" w:pos="9026"/>
      </w:tabs>
    </w:pPr>
  </w:style>
  <w:style w:type="character" w:customStyle="1" w:styleId="HeaderChar">
    <w:name w:val="Header Char"/>
    <w:basedOn w:val="DefaultParagraphFont"/>
    <w:link w:val="Header"/>
    <w:uiPriority w:val="99"/>
    <w:rsid w:val="00F13834"/>
    <w:rPr>
      <w:rFonts w:ascii="Times New Roman" w:eastAsia="Times New Roman" w:hAnsi="Times New Roman" w:cs="Times New Roman"/>
      <w:color w:val="000080"/>
      <w:kern w:val="28"/>
      <w:sz w:val="20"/>
      <w:szCs w:val="20"/>
      <w:lang w:eastAsia="en-GB"/>
    </w:rPr>
  </w:style>
  <w:style w:type="paragraph" w:styleId="Footer">
    <w:name w:val="footer"/>
    <w:basedOn w:val="Normal"/>
    <w:link w:val="FooterChar"/>
    <w:uiPriority w:val="99"/>
    <w:unhideWhenUsed/>
    <w:rsid w:val="00F13834"/>
    <w:pPr>
      <w:tabs>
        <w:tab w:val="center" w:pos="4513"/>
        <w:tab w:val="right" w:pos="9026"/>
      </w:tabs>
    </w:pPr>
  </w:style>
  <w:style w:type="character" w:customStyle="1" w:styleId="FooterChar">
    <w:name w:val="Footer Char"/>
    <w:basedOn w:val="DefaultParagraphFont"/>
    <w:link w:val="Footer"/>
    <w:uiPriority w:val="99"/>
    <w:rsid w:val="00F13834"/>
    <w:rPr>
      <w:rFonts w:ascii="Times New Roman" w:eastAsia="Times New Roman" w:hAnsi="Times New Roman" w:cs="Times New Roman"/>
      <w:color w:val="000080"/>
      <w:kern w:val="28"/>
      <w:sz w:val="20"/>
      <w:szCs w:val="20"/>
      <w:lang w:eastAsia="en-GB"/>
    </w:rPr>
  </w:style>
  <w:style w:type="paragraph" w:styleId="BalloonText">
    <w:name w:val="Balloon Text"/>
    <w:basedOn w:val="Normal"/>
    <w:link w:val="BalloonTextChar"/>
    <w:uiPriority w:val="99"/>
    <w:semiHidden/>
    <w:unhideWhenUsed/>
    <w:rsid w:val="002B2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7A"/>
    <w:rPr>
      <w:rFonts w:ascii="Segoe UI" w:eastAsia="Times New Roman" w:hAnsi="Segoe UI" w:cs="Segoe UI"/>
      <w:color w:val="000080"/>
      <w:kern w:val="28"/>
      <w:sz w:val="18"/>
      <w:szCs w:val="18"/>
      <w:lang w:eastAsia="en-GB"/>
    </w:rPr>
  </w:style>
  <w:style w:type="paragraph" w:styleId="NoSpacing">
    <w:name w:val="No Spacing"/>
    <w:link w:val="NoSpacingChar"/>
    <w:uiPriority w:val="1"/>
    <w:qFormat/>
    <w:rsid w:val="0071695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1695A"/>
    <w:rPr>
      <w:rFonts w:eastAsiaTheme="minorEastAsia"/>
      <w:lang w:val="en-US"/>
    </w:rPr>
  </w:style>
  <w:style w:type="character" w:customStyle="1" w:styleId="Heading1Char">
    <w:name w:val="Heading 1 Char"/>
    <w:basedOn w:val="DefaultParagraphFont"/>
    <w:link w:val="Heading1"/>
    <w:uiPriority w:val="9"/>
    <w:rsid w:val="0098646B"/>
    <w:rPr>
      <w:rFonts w:ascii="Arial" w:eastAsiaTheme="majorEastAsia" w:hAnsi="Arial" w:cstheme="majorBidi"/>
      <w:b/>
      <w:kern w:val="28"/>
      <w:sz w:val="26"/>
      <w:szCs w:val="32"/>
      <w:lang w:eastAsia="en-GB"/>
    </w:rPr>
  </w:style>
  <w:style w:type="character" w:customStyle="1" w:styleId="Heading2Char">
    <w:name w:val="Heading 2 Char"/>
    <w:basedOn w:val="DefaultParagraphFont"/>
    <w:link w:val="Heading2"/>
    <w:uiPriority w:val="9"/>
    <w:rsid w:val="0098646B"/>
    <w:rPr>
      <w:rFonts w:ascii="Arial" w:eastAsiaTheme="majorEastAsia" w:hAnsi="Arial" w:cstheme="majorBidi"/>
      <w:b/>
      <w:kern w:val="28"/>
      <w:sz w:val="24"/>
      <w:szCs w:val="26"/>
      <w:lang w:eastAsia="en-GB"/>
    </w:rPr>
  </w:style>
  <w:style w:type="paragraph" w:styleId="Subtitle">
    <w:name w:val="Subtitle"/>
    <w:basedOn w:val="Heading1"/>
    <w:next w:val="Normal"/>
    <w:link w:val="SubtitleChar"/>
    <w:uiPriority w:val="11"/>
    <w:qFormat/>
    <w:rsid w:val="0098646B"/>
    <w:pPr>
      <w:numPr>
        <w:ilvl w:val="1"/>
      </w:numPr>
      <w:spacing w:after="160"/>
    </w:pPr>
    <w:rPr>
      <w:rFonts w:eastAsiaTheme="minorEastAsia" w:cstheme="minorBidi"/>
      <w:spacing w:val="15"/>
      <w:sz w:val="24"/>
      <w:szCs w:val="22"/>
    </w:rPr>
  </w:style>
  <w:style w:type="character" w:customStyle="1" w:styleId="SubtitleChar">
    <w:name w:val="Subtitle Char"/>
    <w:basedOn w:val="DefaultParagraphFont"/>
    <w:link w:val="Subtitle"/>
    <w:uiPriority w:val="11"/>
    <w:rsid w:val="0098646B"/>
    <w:rPr>
      <w:rFonts w:ascii="Arial" w:eastAsiaTheme="minorEastAsia" w:hAnsi="Arial"/>
      <w:b/>
      <w:spacing w:val="15"/>
      <w:kern w:val="28"/>
      <w:sz w:val="24"/>
      <w:lang w:eastAsia="en-GB"/>
    </w:rPr>
  </w:style>
  <w:style w:type="character" w:customStyle="1" w:styleId="Heading3Char">
    <w:name w:val="Heading 3 Char"/>
    <w:basedOn w:val="DefaultParagraphFont"/>
    <w:link w:val="Heading3"/>
    <w:uiPriority w:val="9"/>
    <w:rsid w:val="00543571"/>
    <w:rPr>
      <w:rFonts w:ascii="Arial" w:eastAsiaTheme="majorEastAsia" w:hAnsi="Arial" w:cstheme="majorBidi"/>
      <w:b/>
      <w:kern w:val="28"/>
      <w:sz w:val="24"/>
      <w:szCs w:val="26"/>
      <w:lang w:eastAsia="en-GB"/>
    </w:rPr>
  </w:style>
  <w:style w:type="paragraph" w:styleId="Title">
    <w:name w:val="Title"/>
    <w:basedOn w:val="Normal"/>
    <w:next w:val="Normal"/>
    <w:link w:val="TitleChar"/>
    <w:uiPriority w:val="10"/>
    <w:qFormat/>
    <w:rsid w:val="0098646B"/>
    <w:pPr>
      <w:contextualSpacing/>
    </w:pPr>
    <w:rPr>
      <w:rFonts w:ascii="Arial" w:eastAsiaTheme="majorEastAsia" w:hAnsi="Arial" w:cstheme="majorBidi"/>
      <w:b/>
      <w:color w:val="auto"/>
      <w:spacing w:val="-10"/>
      <w:sz w:val="32"/>
      <w:szCs w:val="56"/>
    </w:rPr>
  </w:style>
  <w:style w:type="character" w:customStyle="1" w:styleId="TitleChar">
    <w:name w:val="Title Char"/>
    <w:basedOn w:val="DefaultParagraphFont"/>
    <w:link w:val="Title"/>
    <w:uiPriority w:val="10"/>
    <w:rsid w:val="0098646B"/>
    <w:rPr>
      <w:rFonts w:ascii="Arial" w:eastAsiaTheme="majorEastAsia" w:hAnsi="Arial" w:cstheme="majorBidi"/>
      <w:b/>
      <w:spacing w:val="-10"/>
      <w:kern w:val="28"/>
      <w:sz w:val="32"/>
      <w:szCs w:val="56"/>
      <w:lang w:eastAsia="en-GB"/>
    </w:rPr>
  </w:style>
  <w:style w:type="character" w:customStyle="1" w:styleId="Heading4Char">
    <w:name w:val="Heading 4 Char"/>
    <w:basedOn w:val="DefaultParagraphFont"/>
    <w:link w:val="Heading4"/>
    <w:uiPriority w:val="9"/>
    <w:rsid w:val="00543571"/>
    <w:rPr>
      <w:rFonts w:ascii="Arial" w:eastAsiaTheme="majorEastAsia" w:hAnsi="Arial" w:cstheme="majorBidi"/>
      <w:b/>
      <w:kern w:val="28"/>
      <w:sz w:val="26"/>
      <w:szCs w:val="32"/>
      <w:lang w:eastAsia="en-GB"/>
    </w:rPr>
  </w:style>
  <w:style w:type="character" w:customStyle="1" w:styleId="Heading5Char">
    <w:name w:val="Heading 5 Char"/>
    <w:basedOn w:val="DefaultParagraphFont"/>
    <w:link w:val="Heading5"/>
    <w:uiPriority w:val="9"/>
    <w:rsid w:val="00543571"/>
    <w:rPr>
      <w:rFonts w:ascii="Arial" w:eastAsiaTheme="majorEastAsia" w:hAnsi="Arial" w:cstheme="majorBidi"/>
      <w:b/>
      <w:kern w:val="28"/>
      <w:sz w:val="24"/>
      <w:szCs w:val="26"/>
      <w:lang w:eastAsia="en-GB"/>
    </w:rPr>
  </w:style>
  <w:style w:type="character" w:customStyle="1" w:styleId="Heading6Char">
    <w:name w:val="Heading 6 Char"/>
    <w:basedOn w:val="DefaultParagraphFont"/>
    <w:link w:val="Heading6"/>
    <w:uiPriority w:val="9"/>
    <w:rsid w:val="00543571"/>
    <w:rPr>
      <w:rFonts w:ascii="Arial" w:eastAsiaTheme="majorEastAsia" w:hAnsi="Arial" w:cstheme="majorBidi"/>
      <w:b/>
      <w:kern w:val="28"/>
      <w:sz w:val="26"/>
      <w:szCs w:val="32"/>
      <w:lang w:eastAsia="en-GB"/>
    </w:rPr>
  </w:style>
  <w:style w:type="character" w:customStyle="1" w:styleId="Heading7Char">
    <w:name w:val="Heading 7 Char"/>
    <w:basedOn w:val="DefaultParagraphFont"/>
    <w:link w:val="Heading7"/>
    <w:uiPriority w:val="9"/>
    <w:rsid w:val="00543571"/>
    <w:rPr>
      <w:rFonts w:ascii="Arial" w:eastAsiaTheme="majorEastAsia" w:hAnsi="Arial" w:cstheme="majorBidi"/>
      <w:b/>
      <w:kern w:val="28"/>
      <w:sz w:val="24"/>
      <w:szCs w:val="26"/>
      <w:lang w:eastAsia="en-GB"/>
    </w:rPr>
  </w:style>
  <w:style w:type="character" w:customStyle="1" w:styleId="Heading8Char">
    <w:name w:val="Heading 8 Char"/>
    <w:basedOn w:val="DefaultParagraphFont"/>
    <w:link w:val="Heading8"/>
    <w:uiPriority w:val="9"/>
    <w:rsid w:val="00543571"/>
    <w:rPr>
      <w:rFonts w:ascii="Arial" w:eastAsiaTheme="majorEastAsia" w:hAnsi="Arial" w:cstheme="majorBidi"/>
      <w:b/>
      <w:kern w:val="28"/>
      <w:sz w:val="24"/>
      <w:szCs w:val="26"/>
      <w:lang w:eastAsia="en-GB"/>
    </w:rPr>
  </w:style>
  <w:style w:type="paragraph" w:customStyle="1" w:styleId="Style1">
    <w:name w:val="Style1"/>
    <w:basedOn w:val="Normal"/>
    <w:uiPriority w:val="99"/>
    <w:rsid w:val="00DF63E9"/>
    <w:pPr>
      <w:numPr>
        <w:numId w:val="10"/>
      </w:numPr>
    </w:pPr>
    <w:rPr>
      <w:color w:val="auto"/>
      <w:kern w:val="0"/>
      <w:sz w:val="24"/>
      <w:szCs w:val="24"/>
    </w:rPr>
  </w:style>
  <w:style w:type="character" w:customStyle="1" w:styleId="PlainTextChar">
    <w:name w:val="Plain Text Char"/>
    <w:basedOn w:val="DefaultParagraphFont"/>
    <w:link w:val="PlainText"/>
    <w:uiPriority w:val="99"/>
    <w:rsid w:val="00DF63E9"/>
    <w:rPr>
      <w:rFonts w:ascii="Consolas" w:hAnsi="Consolas"/>
    </w:rPr>
  </w:style>
  <w:style w:type="paragraph" w:styleId="PlainText">
    <w:name w:val="Plain Text"/>
    <w:basedOn w:val="Normal"/>
    <w:link w:val="PlainTextChar"/>
    <w:uiPriority w:val="99"/>
    <w:rsid w:val="00DF63E9"/>
    <w:rPr>
      <w:rFonts w:ascii="Consolas" w:eastAsiaTheme="minorHAnsi" w:hAnsi="Consolas" w:cstheme="minorBidi"/>
      <w:color w:val="auto"/>
      <w:kern w:val="0"/>
      <w:sz w:val="22"/>
      <w:szCs w:val="22"/>
      <w:lang w:eastAsia="en-US"/>
    </w:rPr>
  </w:style>
  <w:style w:type="character" w:customStyle="1" w:styleId="PlainTextChar1">
    <w:name w:val="Plain Text Char1"/>
    <w:basedOn w:val="DefaultParagraphFont"/>
    <w:uiPriority w:val="99"/>
    <w:semiHidden/>
    <w:rsid w:val="00DF63E9"/>
    <w:rPr>
      <w:rFonts w:ascii="Consolas" w:eastAsia="Times New Roman" w:hAnsi="Consolas" w:cs="Times New Roman"/>
      <w:color w:val="000080"/>
      <w:kern w:val="28"/>
      <w:sz w:val="21"/>
      <w:szCs w:val="21"/>
      <w:lang w:eastAsia="en-GB"/>
    </w:rPr>
  </w:style>
  <w:style w:type="character" w:styleId="CommentReference">
    <w:name w:val="annotation reference"/>
    <w:basedOn w:val="DefaultParagraphFont"/>
    <w:uiPriority w:val="99"/>
    <w:semiHidden/>
    <w:unhideWhenUsed/>
    <w:rsid w:val="00F73518"/>
    <w:rPr>
      <w:sz w:val="16"/>
      <w:szCs w:val="16"/>
    </w:rPr>
  </w:style>
  <w:style w:type="paragraph" w:styleId="CommentText">
    <w:name w:val="annotation text"/>
    <w:basedOn w:val="Normal"/>
    <w:link w:val="CommentTextChar"/>
    <w:uiPriority w:val="99"/>
    <w:unhideWhenUsed/>
    <w:rsid w:val="00F73518"/>
  </w:style>
  <w:style w:type="character" w:customStyle="1" w:styleId="CommentTextChar">
    <w:name w:val="Comment Text Char"/>
    <w:basedOn w:val="DefaultParagraphFont"/>
    <w:link w:val="CommentText"/>
    <w:uiPriority w:val="99"/>
    <w:rsid w:val="00F73518"/>
    <w:rPr>
      <w:rFonts w:ascii="Times New Roman" w:eastAsia="Times New Roman" w:hAnsi="Times New Roman" w:cs="Times New Roman"/>
      <w:color w:val="000080"/>
      <w:kern w:val="28"/>
      <w:sz w:val="20"/>
      <w:szCs w:val="20"/>
      <w:lang w:eastAsia="en-GB"/>
    </w:rPr>
  </w:style>
  <w:style w:type="paragraph" w:styleId="CommentSubject">
    <w:name w:val="annotation subject"/>
    <w:basedOn w:val="CommentText"/>
    <w:next w:val="CommentText"/>
    <w:link w:val="CommentSubjectChar"/>
    <w:uiPriority w:val="99"/>
    <w:semiHidden/>
    <w:unhideWhenUsed/>
    <w:rsid w:val="00F73518"/>
    <w:rPr>
      <w:b/>
      <w:bCs/>
    </w:rPr>
  </w:style>
  <w:style w:type="character" w:customStyle="1" w:styleId="CommentSubjectChar">
    <w:name w:val="Comment Subject Char"/>
    <w:basedOn w:val="CommentTextChar"/>
    <w:link w:val="CommentSubject"/>
    <w:uiPriority w:val="99"/>
    <w:semiHidden/>
    <w:rsid w:val="00F73518"/>
    <w:rPr>
      <w:rFonts w:ascii="Times New Roman" w:eastAsia="Times New Roman" w:hAnsi="Times New Roman" w:cs="Times New Roman"/>
      <w:b/>
      <w:bCs/>
      <w:color w:val="000080"/>
      <w:kern w:val="28"/>
      <w:sz w:val="20"/>
      <w:szCs w:val="20"/>
      <w:lang w:eastAsia="en-GB"/>
    </w:rPr>
  </w:style>
  <w:style w:type="character" w:styleId="UnresolvedMention">
    <w:name w:val="Unresolved Mention"/>
    <w:basedOn w:val="DefaultParagraphFont"/>
    <w:uiPriority w:val="99"/>
    <w:semiHidden/>
    <w:unhideWhenUsed/>
    <w:rsid w:val="002033BF"/>
    <w:rPr>
      <w:color w:val="605E5C"/>
      <w:shd w:val="clear" w:color="auto" w:fill="E1DFDD"/>
    </w:rPr>
  </w:style>
  <w:style w:type="character" w:styleId="FollowedHyperlink">
    <w:name w:val="FollowedHyperlink"/>
    <w:basedOn w:val="DefaultParagraphFont"/>
    <w:uiPriority w:val="99"/>
    <w:semiHidden/>
    <w:unhideWhenUsed/>
    <w:rsid w:val="00731695"/>
    <w:rPr>
      <w:color w:val="800080" w:themeColor="followedHyperlink"/>
      <w:u w:val="single"/>
    </w:rPr>
  </w:style>
  <w:style w:type="paragraph" w:styleId="Revision">
    <w:name w:val="Revision"/>
    <w:hidden/>
    <w:uiPriority w:val="99"/>
    <w:semiHidden/>
    <w:rsid w:val="00731695"/>
    <w:pPr>
      <w:spacing w:after="0" w:line="240" w:lineRule="auto"/>
    </w:pPr>
    <w:rPr>
      <w:rFonts w:ascii="Times New Roman" w:eastAsia="Times New Roman" w:hAnsi="Times New Roman" w:cs="Times New Roman"/>
      <w:color w:val="000080"/>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5889">
      <w:bodyDiv w:val="1"/>
      <w:marLeft w:val="0"/>
      <w:marRight w:val="0"/>
      <w:marTop w:val="0"/>
      <w:marBottom w:val="0"/>
      <w:divBdr>
        <w:top w:val="none" w:sz="0" w:space="0" w:color="auto"/>
        <w:left w:val="none" w:sz="0" w:space="0" w:color="auto"/>
        <w:bottom w:val="none" w:sz="0" w:space="0" w:color="auto"/>
        <w:right w:val="none" w:sz="0" w:space="0" w:color="auto"/>
      </w:divBdr>
    </w:div>
    <w:div w:id="358243083">
      <w:bodyDiv w:val="1"/>
      <w:marLeft w:val="0"/>
      <w:marRight w:val="0"/>
      <w:marTop w:val="0"/>
      <w:marBottom w:val="0"/>
      <w:divBdr>
        <w:top w:val="none" w:sz="0" w:space="0" w:color="auto"/>
        <w:left w:val="none" w:sz="0" w:space="0" w:color="auto"/>
        <w:bottom w:val="none" w:sz="0" w:space="0" w:color="auto"/>
        <w:right w:val="none" w:sz="0" w:space="0" w:color="auto"/>
      </w:divBdr>
    </w:div>
    <w:div w:id="558051901">
      <w:bodyDiv w:val="1"/>
      <w:marLeft w:val="0"/>
      <w:marRight w:val="0"/>
      <w:marTop w:val="0"/>
      <w:marBottom w:val="0"/>
      <w:divBdr>
        <w:top w:val="none" w:sz="0" w:space="0" w:color="auto"/>
        <w:left w:val="none" w:sz="0" w:space="0" w:color="auto"/>
        <w:bottom w:val="none" w:sz="0" w:space="0" w:color="auto"/>
        <w:right w:val="none" w:sz="0" w:space="0" w:color="auto"/>
      </w:divBdr>
    </w:div>
    <w:div w:id="699939836">
      <w:bodyDiv w:val="1"/>
      <w:marLeft w:val="0"/>
      <w:marRight w:val="0"/>
      <w:marTop w:val="0"/>
      <w:marBottom w:val="0"/>
      <w:divBdr>
        <w:top w:val="none" w:sz="0" w:space="0" w:color="auto"/>
        <w:left w:val="none" w:sz="0" w:space="0" w:color="auto"/>
        <w:bottom w:val="none" w:sz="0" w:space="0" w:color="auto"/>
        <w:right w:val="none" w:sz="0" w:space="0" w:color="auto"/>
      </w:divBdr>
    </w:div>
    <w:div w:id="835417552">
      <w:bodyDiv w:val="1"/>
      <w:marLeft w:val="0"/>
      <w:marRight w:val="0"/>
      <w:marTop w:val="0"/>
      <w:marBottom w:val="0"/>
      <w:divBdr>
        <w:top w:val="none" w:sz="0" w:space="0" w:color="auto"/>
        <w:left w:val="none" w:sz="0" w:space="0" w:color="auto"/>
        <w:bottom w:val="none" w:sz="0" w:space="0" w:color="auto"/>
        <w:right w:val="none" w:sz="0" w:space="0" w:color="auto"/>
      </w:divBdr>
    </w:div>
    <w:div w:id="1309899135">
      <w:bodyDiv w:val="1"/>
      <w:marLeft w:val="0"/>
      <w:marRight w:val="0"/>
      <w:marTop w:val="0"/>
      <w:marBottom w:val="0"/>
      <w:divBdr>
        <w:top w:val="none" w:sz="0" w:space="0" w:color="auto"/>
        <w:left w:val="none" w:sz="0" w:space="0" w:color="auto"/>
        <w:bottom w:val="none" w:sz="0" w:space="0" w:color="auto"/>
        <w:right w:val="none" w:sz="0" w:space="0" w:color="auto"/>
      </w:divBdr>
    </w:div>
    <w:div w:id="1799446694">
      <w:bodyDiv w:val="1"/>
      <w:marLeft w:val="0"/>
      <w:marRight w:val="0"/>
      <w:marTop w:val="0"/>
      <w:marBottom w:val="0"/>
      <w:divBdr>
        <w:top w:val="none" w:sz="0" w:space="0" w:color="auto"/>
        <w:left w:val="none" w:sz="0" w:space="0" w:color="auto"/>
        <w:bottom w:val="none" w:sz="0" w:space="0" w:color="auto"/>
        <w:right w:val="none" w:sz="0" w:space="0" w:color="auto"/>
      </w:divBdr>
    </w:div>
    <w:div w:id="202947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ies-ni.gov.uk/scheme-types" TargetMode="External"/><Relationship Id="rId13" Type="http://schemas.openxmlformats.org/officeDocument/2006/relationships/hyperlink" Target="https://www.finance-ni.gov.uk/topics/housing-stock-statistics" TargetMode="External"/><Relationship Id="rId18" Type="http://schemas.openxmlformats.org/officeDocument/2006/relationships/hyperlink" Target="http://www.scotland.gov.uk/Topics/Statistics/Browse/Housing-Regeneration/RefTabl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nhbc.co.uk/builders/products-and-services/residential-construction-statistics" TargetMode="External"/><Relationship Id="rId7" Type="http://schemas.openxmlformats.org/officeDocument/2006/relationships/endnotes" Target="endnotes.xml"/><Relationship Id="rId12" Type="http://schemas.openxmlformats.org/officeDocument/2006/relationships/hyperlink" Target="http://www.communities.gov.uk/housing/housingresearch/housingstatistics/housingstatisticsby/housebuilding/livetables/" TargetMode="External"/><Relationship Id="rId17" Type="http://schemas.openxmlformats.org/officeDocument/2006/relationships/hyperlink" Target="https://www.gov.uk/government/collections/homelessness-statistic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nihe.gov.uk/Housing-Help/Homelessness/Homelessness-strategy" TargetMode="External"/><Relationship Id="rId20" Type="http://schemas.openxmlformats.org/officeDocument/2006/relationships/hyperlink" Target="http://www.nhbc.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he.gov.uk/Working-With-Us/Partners/Housing-Investment-Plans-(HIP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ihe.gov.uk/Housing-Help/Homelessnes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finance-ni.gov.uk/topics/new-dwelling-statistics" TargetMode="External"/><Relationship Id="rId19" Type="http://schemas.openxmlformats.org/officeDocument/2006/relationships/hyperlink" Target="https://statswales.gov.wales/Catalogue/Housing/Homelessness" TargetMode="External"/><Relationship Id="rId4" Type="http://schemas.openxmlformats.org/officeDocument/2006/relationships/settings" Target="settings.xml"/><Relationship Id="rId9" Type="http://schemas.openxmlformats.org/officeDocument/2006/relationships/hyperlink" Target="https://www.finance-ni.gov.uk/topics/new-dwelling-statistics" TargetMode="External"/><Relationship Id="rId14" Type="http://schemas.openxmlformats.org/officeDocument/2006/relationships/hyperlink" Target="https://www.nisra.gov.uk/statistics/census/2021-census" TargetMode="External"/><Relationship Id="rId22" Type="http://schemas.openxmlformats.org/officeDocument/2006/relationships/hyperlink" Target="https://www.finance-ni.gov.uk/articles/northern-ireland-house-price-inde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DE801-8AA3-4E0A-9689-900F43B3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5552</Words>
  <Characters>30317</Characters>
  <Application>Microsoft Office Word</Application>
  <DocSecurity>0</DocSecurity>
  <Lines>797</Lines>
  <Paragraphs>278</Paragraphs>
  <ScaleCrop>false</ScaleCrop>
  <HeadingPairs>
    <vt:vector size="2" baseType="variant">
      <vt:variant>
        <vt:lpstr>Title</vt:lpstr>
      </vt:variant>
      <vt:variant>
        <vt:i4>1</vt:i4>
      </vt:variant>
    </vt:vector>
  </HeadingPairs>
  <TitlesOfParts>
    <vt:vector size="1" baseType="lpstr">
      <vt:lpstr>Northern Ireland Housing Bulletin Appendix</vt:lpstr>
    </vt:vector>
  </TitlesOfParts>
  <Company>IT Assist</Company>
  <LinksUpToDate>false</LinksUpToDate>
  <CharactersWithSpaces>35591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Ireland Housing Bulletin Appendix</dc:title>
  <dc:creator>Katie.Fulton@communities-ni.gov.uk</dc:creator>
  <cp:lastModifiedBy>Millin, Kerry</cp:lastModifiedBy>
  <cp:revision>6</cp:revision>
  <cp:lastPrinted>2018-11-01T10:41:00Z</cp:lastPrinted>
  <dcterms:created xsi:type="dcterms:W3CDTF">2026-02-17T15:19:00Z</dcterms:created>
  <dcterms:modified xsi:type="dcterms:W3CDTF">2026-05-14T15:42:00Z</dcterms:modified>
</cp:coreProperties>
</file>