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23" w:rsidRDefault="003F4423">
      <w:pPr>
        <w:pStyle w:val="TOCPT"/>
        <w:outlineLvl w:val="0"/>
      </w:pPr>
      <w:bookmarkStart w:id="0" w:name="_GoBack"/>
      <w:bookmarkEnd w:id="0"/>
      <w:r>
        <w:t>Chapter 64 - Background to the Industrial Injuries Scheme</w:t>
      </w:r>
    </w:p>
    <w:p w:rsidR="003F4423" w:rsidRDefault="003F4423">
      <w:pPr>
        <w:pStyle w:val="TG"/>
      </w:pPr>
      <w:r>
        <w:t>Contents</w:t>
      </w:r>
    </w:p>
    <w:p w:rsidR="003F4423" w:rsidRDefault="003F4423">
      <w:pPr>
        <w:pStyle w:val="TOCTG"/>
      </w:pPr>
      <w:r>
        <w:t>Introduction</w:t>
      </w:r>
      <w:r>
        <w:rPr>
          <w:b w:val="0"/>
          <w:bCs/>
        </w:rPr>
        <w:tab/>
        <w:t>64001</w:t>
      </w:r>
    </w:p>
    <w:p w:rsidR="003F4423" w:rsidRDefault="003F4423">
      <w:pPr>
        <w:pStyle w:val="TOCSG"/>
      </w:pPr>
      <w:r>
        <w:t xml:space="preserve">Components of the scheme  </w:t>
      </w:r>
      <w:r>
        <w:tab/>
        <w:t>64007</w:t>
      </w:r>
    </w:p>
    <w:p w:rsidR="003F4423" w:rsidRDefault="003F4423">
      <w:pPr>
        <w:pStyle w:val="TOCSG"/>
      </w:pPr>
      <w:r>
        <w:t xml:space="preserve">Industrial Injuries Disablement Benefit </w:t>
      </w:r>
      <w:r>
        <w:tab/>
        <w:t>64012</w:t>
      </w:r>
    </w:p>
    <w:p w:rsidR="003F4423" w:rsidRDefault="003F4423">
      <w:pPr>
        <w:pStyle w:val="TOCSG"/>
      </w:pPr>
      <w:proofErr w:type="spellStart"/>
      <w:r>
        <w:t>Unemployability</w:t>
      </w:r>
      <w:proofErr w:type="spellEnd"/>
      <w:r>
        <w:t xml:space="preserve"> Supplement </w:t>
      </w:r>
      <w:r>
        <w:tab/>
        <w:t>64020</w:t>
      </w:r>
    </w:p>
    <w:p w:rsidR="003F4423" w:rsidRDefault="003F4423">
      <w:pPr>
        <w:pStyle w:val="TOCSG"/>
      </w:pPr>
      <w:r>
        <w:t>Constant Attendance Allowance.</w:t>
      </w:r>
      <w:r>
        <w:tab/>
        <w:t>64023</w:t>
      </w:r>
    </w:p>
    <w:p w:rsidR="003F4423" w:rsidRDefault="003F4423">
      <w:pPr>
        <w:pStyle w:val="TOCSG"/>
      </w:pPr>
      <w:r>
        <w:t xml:space="preserve">Exceptionally Severe Disablement Allowance </w:t>
      </w:r>
      <w:r>
        <w:tab/>
        <w:t>64026</w:t>
      </w:r>
    </w:p>
    <w:p w:rsidR="003F4423" w:rsidRDefault="00192ED6">
      <w:pPr>
        <w:pStyle w:val="TOCSG"/>
      </w:pPr>
      <w:r>
        <w:t>Reduced Earnings Allowance</w:t>
      </w:r>
      <w:r w:rsidR="003F4423">
        <w:tab/>
        <w:t>64029</w:t>
      </w:r>
    </w:p>
    <w:p w:rsidR="003F4423" w:rsidRDefault="003F4423">
      <w:pPr>
        <w:pStyle w:val="TOCSG"/>
      </w:pPr>
      <w:r>
        <w:t xml:space="preserve">Retirement Allowance </w:t>
      </w:r>
      <w:r>
        <w:tab/>
        <w:t>64035</w:t>
      </w:r>
    </w:p>
    <w:p w:rsidR="003F4423" w:rsidRDefault="0077334B">
      <w:pPr>
        <w:pStyle w:val="TOCSG"/>
      </w:pPr>
      <w:r>
        <w:t xml:space="preserve">Old scheme cases </w:t>
      </w:r>
      <w:r>
        <w:tab/>
        <w:t>64037</w:t>
      </w:r>
    </w:p>
    <w:p w:rsidR="003F4423" w:rsidRDefault="0077334B">
      <w:pPr>
        <w:pStyle w:val="TOCSG"/>
      </w:pPr>
      <w:r>
        <w:t>Outline of conditions</w:t>
      </w:r>
      <w:r>
        <w:tab/>
        <w:t>64038</w:t>
      </w:r>
    </w:p>
    <w:p w:rsidR="003F4423" w:rsidRDefault="003F4423">
      <w:pPr>
        <w:pStyle w:val="TOCSG"/>
      </w:pPr>
      <w:r>
        <w:t xml:space="preserve">Industrial Death Benefit </w:t>
      </w:r>
      <w:r>
        <w:tab/>
        <w:t>64044</w:t>
      </w:r>
    </w:p>
    <w:p w:rsidR="003F4423" w:rsidRDefault="003F4423">
      <w:pPr>
        <w:pStyle w:val="TOCTG"/>
        <w:outlineLvl w:val="0"/>
      </w:pPr>
      <w:r>
        <w:t>Decision Making</w:t>
      </w:r>
      <w:r w:rsidR="00192ED6">
        <w:t xml:space="preserve"> and Appeal changes from 5.7.99</w:t>
      </w:r>
    </w:p>
    <w:p w:rsidR="003F4423" w:rsidRDefault="003F4423">
      <w:pPr>
        <w:pStyle w:val="TOCSG"/>
      </w:pPr>
      <w:r>
        <w:t>General</w:t>
      </w:r>
      <w:r>
        <w:tab/>
        <w:t>64060</w:t>
      </w:r>
    </w:p>
    <w:p w:rsidR="003F4423" w:rsidRDefault="003F4423">
      <w:pPr>
        <w:pStyle w:val="TOCSG"/>
      </w:pPr>
      <w:r>
        <w:t>Status of decisi</w:t>
      </w:r>
      <w:r w:rsidR="0077334B">
        <w:t>o</w:t>
      </w:r>
      <w:r w:rsidR="00192ED6">
        <w:t>n makers</w:t>
      </w:r>
      <w:r w:rsidR="0077334B">
        <w:tab/>
        <w:t>64061</w:t>
      </w:r>
    </w:p>
    <w:p w:rsidR="003F4423" w:rsidRDefault="00192ED6">
      <w:pPr>
        <w:pStyle w:val="TOCSG"/>
      </w:pPr>
      <w:r>
        <w:t>Lay decision making</w:t>
      </w:r>
      <w:r w:rsidR="0077334B">
        <w:tab/>
        <w:t>64062</w:t>
      </w:r>
    </w:p>
    <w:p w:rsidR="003F4423" w:rsidRDefault="003F4423">
      <w:pPr>
        <w:pStyle w:val="TOCSG"/>
      </w:pPr>
    </w:p>
    <w:p w:rsidR="003F4423" w:rsidRDefault="003F4423">
      <w:pPr>
        <w:pStyle w:val="PT"/>
        <w:spacing w:after="0" w:line="360" w:lineRule="auto"/>
        <w:ind w:left="0" w:right="284"/>
        <w:rPr>
          <w:sz w:val="28"/>
        </w:rPr>
        <w:sectPr w:rsidR="003F4423">
          <w:headerReference w:type="default" r:id="rId7"/>
          <w:footerReference w:type="default" r:id="rId8"/>
          <w:pgSz w:w="11907" w:h="16840" w:code="9"/>
          <w:pgMar w:top="1440" w:right="1797" w:bottom="1440" w:left="1797" w:header="720" w:footer="720" w:gutter="0"/>
          <w:cols w:space="720"/>
          <w:noEndnote/>
        </w:sectPr>
      </w:pPr>
    </w:p>
    <w:p w:rsidR="003F4423" w:rsidRDefault="003F4423">
      <w:pPr>
        <w:pStyle w:val="TG"/>
      </w:pPr>
      <w:r>
        <w:lastRenderedPageBreak/>
        <w:t>Introduction</w:t>
      </w:r>
    </w:p>
    <w:p w:rsidR="003F4423" w:rsidRDefault="003F4423">
      <w:pPr>
        <w:pStyle w:val="BT"/>
      </w:pPr>
      <w:r>
        <w:t>64001</w:t>
      </w:r>
      <w:r>
        <w:tab/>
      </w:r>
      <w:bookmarkStart w:id="1" w:name="p64001"/>
      <w:bookmarkEnd w:id="1"/>
      <w:r>
        <w:t xml:space="preserve">The Industrial Injuries scheme provides non-contributory benefits for disablement because of an </w:t>
      </w:r>
      <w:r w:rsidR="00693968">
        <w:t xml:space="preserve">industrial </w:t>
      </w:r>
      <w:r>
        <w:t xml:space="preserve">accident or one of over </w:t>
      </w:r>
      <w:r w:rsidR="00693968">
        <w:t>6</w:t>
      </w:r>
      <w:r>
        <w:t>0 prescribed diseases accepted as a particular risk of occupation.  The objective of the Industrial Injuries Benefits programme is to</w:t>
      </w:r>
    </w:p>
    <w:p w:rsidR="003F4423" w:rsidRDefault="003F4423">
      <w:pPr>
        <w:pStyle w:val="Indent10"/>
      </w:pPr>
      <w:r>
        <w:rPr>
          <w:b/>
          <w:bCs/>
        </w:rPr>
        <w:t>1.</w:t>
      </w:r>
      <w:r>
        <w:rPr>
          <w:b/>
          <w:bCs/>
        </w:rPr>
        <w:tab/>
      </w:r>
      <w:r>
        <w:t>provide no fault contributory benefits to people disabled by injuries or diseases through employed earners employment</w:t>
      </w:r>
    </w:p>
    <w:p w:rsidR="003F4423" w:rsidRDefault="003F4423">
      <w:pPr>
        <w:pStyle w:val="Indent10"/>
      </w:pPr>
      <w:r>
        <w:rPr>
          <w:b/>
          <w:bCs/>
        </w:rPr>
        <w:t>2.</w:t>
      </w:r>
      <w:r>
        <w:rPr>
          <w:b/>
          <w:bCs/>
        </w:rPr>
        <w:tab/>
      </w:r>
      <w:r>
        <w:t>provide assistance with the extra costs of care needed because of the industrial disablement.</w:t>
      </w:r>
    </w:p>
    <w:p w:rsidR="003F4423" w:rsidRDefault="003F4423">
      <w:pPr>
        <w:pStyle w:val="BT"/>
      </w:pPr>
      <w:r>
        <w:t>64002</w:t>
      </w:r>
      <w:r>
        <w:tab/>
        <w:t>The original principles behind the scheme were</w:t>
      </w:r>
    </w:p>
    <w:p w:rsidR="003F4423" w:rsidRDefault="003F4423">
      <w:pPr>
        <w:pStyle w:val="Indent10"/>
      </w:pPr>
      <w:r>
        <w:rPr>
          <w:b/>
          <w:bCs/>
        </w:rPr>
        <w:t>1.</w:t>
      </w:r>
      <w:r>
        <w:rPr>
          <w:b/>
          <w:bCs/>
        </w:rPr>
        <w:tab/>
      </w:r>
      <w:r>
        <w:t>many industries which were vital to the community were especially dangerous and because of the essential nature of the work, people would be encouraged to take up work if they were assured of compensation in the event of injury</w:t>
      </w:r>
    </w:p>
    <w:p w:rsidR="003F4423" w:rsidRDefault="003F4423">
      <w:pPr>
        <w:pStyle w:val="Indent10"/>
      </w:pPr>
      <w:r>
        <w:rPr>
          <w:b/>
          <w:bCs/>
        </w:rPr>
        <w:t>2.</w:t>
      </w:r>
      <w:r>
        <w:rPr>
          <w:b/>
          <w:bCs/>
        </w:rPr>
        <w:tab/>
      </w:r>
      <w:r>
        <w:t>a person disabled in the course of work was under orders to carry out his duties</w:t>
      </w:r>
    </w:p>
    <w:p w:rsidR="003F4423" w:rsidRDefault="003F4423">
      <w:pPr>
        <w:pStyle w:val="Indent10"/>
      </w:pPr>
      <w:r>
        <w:rPr>
          <w:b/>
          <w:bCs/>
        </w:rPr>
        <w:t>3.</w:t>
      </w:r>
      <w:r>
        <w:rPr>
          <w:b/>
          <w:bCs/>
        </w:rPr>
        <w:tab/>
      </w:r>
      <w:r>
        <w:t>employer's liability at common law could be limited to cases of negligence only if no fault provisions were made.</w:t>
      </w:r>
    </w:p>
    <w:p w:rsidR="003F4423" w:rsidRDefault="0077334B">
      <w:pPr>
        <w:pStyle w:val="BT"/>
      </w:pPr>
      <w:r>
        <w:tab/>
        <w:t xml:space="preserve">64003 </w:t>
      </w:r>
      <w:r w:rsidR="009B72D2">
        <w:t>–</w:t>
      </w:r>
      <w:r w:rsidR="003F4423">
        <w:t xml:space="preserve"> 64006</w:t>
      </w:r>
    </w:p>
    <w:p w:rsidR="003F4423" w:rsidRDefault="003F4423">
      <w:pPr>
        <w:pStyle w:val="SG"/>
      </w:pPr>
      <w:r>
        <w:t>Components of the scheme</w:t>
      </w:r>
    </w:p>
    <w:p w:rsidR="003F4423" w:rsidRDefault="003F4423">
      <w:pPr>
        <w:pStyle w:val="BT"/>
      </w:pPr>
      <w:r>
        <w:t>64007</w:t>
      </w:r>
      <w:r>
        <w:tab/>
      </w:r>
      <w:bookmarkStart w:id="2" w:name="p64007"/>
      <w:bookmarkEnd w:id="2"/>
      <w:r>
        <w:t>The Industrial Injuries scheme is made up of a number of components</w:t>
      </w:r>
    </w:p>
    <w:p w:rsidR="003F4423" w:rsidRDefault="003F4423">
      <w:pPr>
        <w:pStyle w:val="Indent10"/>
      </w:pPr>
      <w:r>
        <w:rPr>
          <w:b/>
          <w:bCs/>
        </w:rPr>
        <w:t>1.</w:t>
      </w:r>
      <w:r>
        <w:rPr>
          <w:b/>
          <w:bCs/>
        </w:rPr>
        <w:tab/>
      </w:r>
      <w:r>
        <w:t>Industrial Injuries Disablement Benefit (DMG 64012)</w:t>
      </w:r>
    </w:p>
    <w:p w:rsidR="003F4423" w:rsidRDefault="003F4423">
      <w:pPr>
        <w:pStyle w:val="Indent10"/>
      </w:pPr>
      <w:r>
        <w:rPr>
          <w:b/>
          <w:bCs/>
        </w:rPr>
        <w:t>2.</w:t>
      </w:r>
      <w:r>
        <w:rPr>
          <w:b/>
          <w:bCs/>
        </w:rPr>
        <w:tab/>
      </w:r>
      <w:proofErr w:type="spellStart"/>
      <w:r>
        <w:t>Unemployability</w:t>
      </w:r>
      <w:proofErr w:type="spellEnd"/>
      <w:r>
        <w:t xml:space="preserve"> Supplement (DMG 64020)</w:t>
      </w:r>
    </w:p>
    <w:p w:rsidR="003F4423" w:rsidRDefault="003F4423">
      <w:pPr>
        <w:pStyle w:val="Indent10"/>
      </w:pPr>
      <w:r>
        <w:rPr>
          <w:b/>
          <w:bCs/>
        </w:rPr>
        <w:t>3.</w:t>
      </w:r>
      <w:r>
        <w:rPr>
          <w:b/>
          <w:bCs/>
        </w:rPr>
        <w:tab/>
      </w:r>
      <w:r>
        <w:t>Constant Attendance Allowance (DMG 64023)</w:t>
      </w:r>
    </w:p>
    <w:p w:rsidR="003F4423" w:rsidRDefault="003F4423">
      <w:pPr>
        <w:pStyle w:val="Indent10"/>
      </w:pPr>
      <w:r>
        <w:rPr>
          <w:b/>
          <w:bCs/>
        </w:rPr>
        <w:t>4.</w:t>
      </w:r>
      <w:r>
        <w:rPr>
          <w:b/>
          <w:bCs/>
        </w:rPr>
        <w:tab/>
      </w:r>
      <w:r>
        <w:t>Exceptionally Severe Disablement Allowance (DMG 64026)</w:t>
      </w:r>
    </w:p>
    <w:p w:rsidR="003F4423" w:rsidRDefault="003F4423">
      <w:pPr>
        <w:pStyle w:val="Indent10"/>
      </w:pPr>
      <w:r>
        <w:rPr>
          <w:b/>
          <w:bCs/>
        </w:rPr>
        <w:t>5.</w:t>
      </w:r>
      <w:r>
        <w:rPr>
          <w:b/>
          <w:bCs/>
        </w:rPr>
        <w:tab/>
      </w:r>
      <w:r>
        <w:t>Reduced Earnings Allowance (DMG 64029)</w:t>
      </w:r>
    </w:p>
    <w:p w:rsidR="003F4423" w:rsidRDefault="003F4423">
      <w:pPr>
        <w:pStyle w:val="Indent10"/>
      </w:pPr>
      <w:r>
        <w:rPr>
          <w:b/>
          <w:bCs/>
        </w:rPr>
        <w:t>6.</w:t>
      </w:r>
      <w:r>
        <w:rPr>
          <w:b/>
          <w:bCs/>
        </w:rPr>
        <w:tab/>
      </w:r>
      <w:r>
        <w:t>Retirement Allowance (DMG 64035)</w:t>
      </w:r>
    </w:p>
    <w:p w:rsidR="003F4423" w:rsidRDefault="003F4423">
      <w:pPr>
        <w:pStyle w:val="Indent10"/>
      </w:pPr>
      <w:r>
        <w:rPr>
          <w:b/>
          <w:bCs/>
        </w:rPr>
        <w:t>7.</w:t>
      </w:r>
      <w:r>
        <w:rPr>
          <w:b/>
          <w:bCs/>
        </w:rPr>
        <w:tab/>
      </w:r>
      <w:r w:rsidR="0077334B">
        <w:t>old scheme cases (DMG 64037</w:t>
      </w:r>
      <w:r>
        <w:t xml:space="preserve">), </w:t>
      </w:r>
      <w:r>
        <w:rPr>
          <w:b/>
          <w:bCs/>
        </w:rPr>
        <w:t>and</w:t>
      </w:r>
    </w:p>
    <w:p w:rsidR="003F4423" w:rsidRDefault="003F4423">
      <w:pPr>
        <w:pStyle w:val="Indent10"/>
      </w:pPr>
      <w:r>
        <w:rPr>
          <w:b/>
          <w:bCs/>
        </w:rPr>
        <w:t>8.</w:t>
      </w:r>
      <w:r>
        <w:rPr>
          <w:b/>
          <w:bCs/>
        </w:rPr>
        <w:tab/>
      </w:r>
      <w:r>
        <w:t>Industrial Death Benefit (DMG 64044)</w:t>
      </w:r>
    </w:p>
    <w:p w:rsidR="003F4423" w:rsidRDefault="0077334B">
      <w:pPr>
        <w:pStyle w:val="BT"/>
      </w:pPr>
      <w:r>
        <w:lastRenderedPageBreak/>
        <w:tab/>
        <w:t xml:space="preserve">64008 </w:t>
      </w:r>
      <w:r w:rsidR="009B72D2">
        <w:t>–</w:t>
      </w:r>
      <w:r w:rsidR="003F4423">
        <w:t xml:space="preserve"> 64011</w:t>
      </w:r>
    </w:p>
    <w:p w:rsidR="003F4423" w:rsidRDefault="003F4423">
      <w:pPr>
        <w:pStyle w:val="SG"/>
      </w:pPr>
      <w:r>
        <w:t>Industrial Injuries Disablement Benefit</w:t>
      </w:r>
    </w:p>
    <w:p w:rsidR="003F4423" w:rsidRDefault="003F4423">
      <w:pPr>
        <w:pStyle w:val="BT"/>
      </w:pPr>
      <w:r>
        <w:t>64012</w:t>
      </w:r>
      <w:r>
        <w:tab/>
      </w:r>
      <w:bookmarkStart w:id="3" w:name="p64012"/>
      <w:bookmarkEnd w:id="3"/>
      <w:r w:rsidR="00693968">
        <w:t>Industrial Injuries Disablement Benefit is the main benefit in the scheme</w:t>
      </w:r>
      <w:r>
        <w:t>.  It provides benefit for people who suffer a loss of faculty because of an industrial accident or prescribed industrial disease.</w:t>
      </w:r>
    </w:p>
    <w:p w:rsidR="003F4423" w:rsidRDefault="003F4423">
      <w:pPr>
        <w:pStyle w:val="BT"/>
      </w:pPr>
      <w:r>
        <w:t>64013</w:t>
      </w:r>
      <w:r>
        <w:tab/>
        <w:t>Since 19.11.86 a person is not entitled to benefit on any claim where the assessment is less than 14%, unless pneumoconiosis, byssinosis, or diffuse mesothelioma causes the disablement.</w:t>
      </w:r>
      <w:r w:rsidR="00E74FFE">
        <w:t xml:space="preserve">  If a person claims benefit for</w:t>
      </w:r>
    </w:p>
    <w:p w:rsidR="00E74FFE" w:rsidRDefault="00E74FFE">
      <w:pPr>
        <w:pStyle w:val="BT"/>
        <w:rPr>
          <w:b/>
        </w:rPr>
      </w:pPr>
      <w:r>
        <w:tab/>
      </w:r>
      <w:r>
        <w:rPr>
          <w:b/>
        </w:rPr>
        <w:t>1.</w:t>
      </w:r>
      <w:r>
        <w:tab/>
        <w:t xml:space="preserve">more than one industrial accident </w:t>
      </w:r>
      <w:r>
        <w:rPr>
          <w:b/>
        </w:rPr>
        <w:t>or</w:t>
      </w:r>
    </w:p>
    <w:p w:rsidR="00E74FFE" w:rsidRDefault="00E74FFE">
      <w:pPr>
        <w:pStyle w:val="BT"/>
        <w:rPr>
          <w:b/>
        </w:rPr>
      </w:pPr>
      <w:r>
        <w:rPr>
          <w:b/>
        </w:rPr>
        <w:tab/>
        <w:t>2.</w:t>
      </w:r>
      <w:r>
        <w:tab/>
        <w:t xml:space="preserve">more than one prescribed disease </w:t>
      </w:r>
      <w:r>
        <w:rPr>
          <w:b/>
        </w:rPr>
        <w:t>or</w:t>
      </w:r>
    </w:p>
    <w:p w:rsidR="00E74FFE" w:rsidRDefault="00E74FFE">
      <w:pPr>
        <w:pStyle w:val="BT"/>
      </w:pPr>
      <w:r>
        <w:rPr>
          <w:b/>
        </w:rPr>
        <w:tab/>
        <w:t>3.</w:t>
      </w:r>
      <w:r>
        <w:tab/>
        <w:t>one or more industrial accident and one or more prescribed disease</w:t>
      </w:r>
    </w:p>
    <w:p w:rsidR="00E74FFE" w:rsidRPr="00E74FFE" w:rsidRDefault="00E74FFE">
      <w:pPr>
        <w:pStyle w:val="BT"/>
      </w:pPr>
      <w:r>
        <w:tab/>
        <w:t>the assessments may be added together and benefit awarded on the total assessment.</w:t>
      </w:r>
    </w:p>
    <w:p w:rsidR="003F4423" w:rsidRDefault="003F4423">
      <w:pPr>
        <w:pStyle w:val="BT"/>
      </w:pPr>
      <w:r>
        <w:t>64014</w:t>
      </w:r>
      <w:r>
        <w:tab/>
        <w:t>Benefit cannot usually be paid until 90 days (excluding Sundays) after the date of accident or the date they started to suffer from the prescribed disease.</w:t>
      </w:r>
    </w:p>
    <w:p w:rsidR="003F4423" w:rsidRDefault="0077334B">
      <w:pPr>
        <w:pStyle w:val="BT"/>
      </w:pPr>
      <w:r>
        <w:tab/>
        <w:t xml:space="preserve">64015 </w:t>
      </w:r>
      <w:r w:rsidR="009B72D2">
        <w:t>–</w:t>
      </w:r>
      <w:r w:rsidR="003F4423">
        <w:t xml:space="preserve"> 64019</w:t>
      </w:r>
    </w:p>
    <w:p w:rsidR="003F4423" w:rsidRDefault="003F4423">
      <w:pPr>
        <w:pStyle w:val="SG"/>
      </w:pPr>
      <w:proofErr w:type="spellStart"/>
      <w:r>
        <w:t>Unemployability</w:t>
      </w:r>
      <w:proofErr w:type="spellEnd"/>
      <w:r>
        <w:t xml:space="preserve"> Supplement</w:t>
      </w:r>
    </w:p>
    <w:p w:rsidR="003F4423" w:rsidRDefault="003F4423">
      <w:pPr>
        <w:pStyle w:val="BT"/>
      </w:pPr>
      <w:r>
        <w:t>64020</w:t>
      </w:r>
      <w:r>
        <w:tab/>
      </w:r>
      <w:bookmarkStart w:id="4" w:name="p64020"/>
      <w:bookmarkEnd w:id="4"/>
      <w:proofErr w:type="spellStart"/>
      <w:r>
        <w:t>Unemployability</w:t>
      </w:r>
      <w:proofErr w:type="spellEnd"/>
      <w:r>
        <w:t xml:space="preserve"> Supplement was awarded to a disabled person who could not work because of their disability and was unlikely ever to work again.  No new claims could be made from 6.4.87 but people receiving the benefit before that date continue to receive it</w:t>
      </w:r>
      <w:r w:rsidR="0077334B">
        <w:t>.</w:t>
      </w:r>
    </w:p>
    <w:p w:rsidR="003F4423" w:rsidRDefault="0077334B">
      <w:pPr>
        <w:pStyle w:val="BT"/>
      </w:pPr>
      <w:r>
        <w:tab/>
        <w:t xml:space="preserve">64021 </w:t>
      </w:r>
      <w:r w:rsidR="009B72D2">
        <w:t>–</w:t>
      </w:r>
      <w:r w:rsidR="003F4423">
        <w:t xml:space="preserve"> 64022</w:t>
      </w:r>
    </w:p>
    <w:p w:rsidR="003F4423" w:rsidRDefault="003F4423">
      <w:pPr>
        <w:pStyle w:val="SG"/>
      </w:pPr>
      <w:r>
        <w:t>Constant Attendance Allowance</w:t>
      </w:r>
    </w:p>
    <w:p w:rsidR="003F4423" w:rsidRDefault="003F4423">
      <w:pPr>
        <w:pStyle w:val="BT"/>
      </w:pPr>
      <w:r>
        <w:t>64023</w:t>
      </w:r>
      <w:r>
        <w:tab/>
      </w:r>
      <w:bookmarkStart w:id="5" w:name="p64023"/>
      <w:bookmarkEnd w:id="5"/>
      <w:r>
        <w:t>Constant Attendance Allowance is paid to a person who is receiving Industrial Injuries Disablement Benefit at 100% rate and who needs constant care and attention because of the effects of the industrial injury or disease.</w:t>
      </w:r>
    </w:p>
    <w:p w:rsidR="003F4423" w:rsidRDefault="0077334B">
      <w:pPr>
        <w:pStyle w:val="BT"/>
      </w:pPr>
      <w:r>
        <w:tab/>
        <w:t xml:space="preserve">64024 </w:t>
      </w:r>
      <w:r w:rsidR="009B72D2">
        <w:t>–</w:t>
      </w:r>
      <w:r w:rsidR="003F4423">
        <w:t xml:space="preserve"> 64025</w:t>
      </w:r>
    </w:p>
    <w:p w:rsidR="003F4423" w:rsidRDefault="003F4423">
      <w:pPr>
        <w:pStyle w:val="SG"/>
      </w:pPr>
      <w:r>
        <w:lastRenderedPageBreak/>
        <w:t>Exceptionally Severe Disablement Allowance</w:t>
      </w:r>
    </w:p>
    <w:p w:rsidR="003F4423" w:rsidRDefault="003F4423">
      <w:pPr>
        <w:pStyle w:val="BT"/>
      </w:pPr>
      <w:r>
        <w:t>64026</w:t>
      </w:r>
      <w:r>
        <w:tab/>
      </w:r>
      <w:bookmarkStart w:id="6" w:name="p64026"/>
      <w:bookmarkEnd w:id="6"/>
      <w:r>
        <w:t>A person who is already entitled to either of the 2 higher rates of Constant Attendance Allowance may also be entitled to Exceptionally Severe Disablement Allowance.</w:t>
      </w:r>
    </w:p>
    <w:p w:rsidR="003F4423" w:rsidRDefault="0077334B">
      <w:pPr>
        <w:pStyle w:val="BT"/>
      </w:pPr>
      <w:r>
        <w:tab/>
        <w:t xml:space="preserve">64027 </w:t>
      </w:r>
      <w:r w:rsidR="009B72D2">
        <w:t>–</w:t>
      </w:r>
      <w:r w:rsidR="003F4423">
        <w:t xml:space="preserve"> 64028</w:t>
      </w:r>
    </w:p>
    <w:p w:rsidR="003F4423" w:rsidRDefault="003F4423">
      <w:pPr>
        <w:pStyle w:val="SG"/>
      </w:pPr>
      <w:r>
        <w:t>Reduced Earnings Allowance</w:t>
      </w:r>
    </w:p>
    <w:p w:rsidR="003F4423" w:rsidRDefault="003F4423">
      <w:pPr>
        <w:pStyle w:val="BT"/>
      </w:pPr>
      <w:r>
        <w:t>64029</w:t>
      </w:r>
      <w:r>
        <w:tab/>
      </w:r>
      <w:bookmarkStart w:id="7" w:name="p64029"/>
      <w:bookmarkEnd w:id="7"/>
      <w:r>
        <w:t>A person may be entitled to Reduced Earnings Allowance if they are assessed as 1% disabled or more because of their injury or disease and they cannot go back to their normal job or one which pays as much.  The accident or date of onset must be before 1.10.90.  In addition a person cannot be entitled to Reduced Earnings Allowance in respect of</w:t>
      </w:r>
    </w:p>
    <w:p w:rsidR="003F4423" w:rsidRDefault="003F4423">
      <w:pPr>
        <w:pStyle w:val="Indent10"/>
      </w:pPr>
      <w:r>
        <w:rPr>
          <w:b/>
          <w:bCs/>
        </w:rPr>
        <w:t>1.</w:t>
      </w:r>
      <w:r>
        <w:rPr>
          <w:b/>
          <w:bCs/>
        </w:rPr>
        <w:tab/>
      </w:r>
      <w:r w:rsidR="009B72D2">
        <w:t>any disease first prescribed</w:t>
      </w:r>
      <w:r>
        <w:t xml:space="preserve"> </w:t>
      </w:r>
      <w:r>
        <w:rPr>
          <w:b/>
          <w:bCs/>
        </w:rPr>
        <w:t>or</w:t>
      </w:r>
    </w:p>
    <w:p w:rsidR="003F4423" w:rsidRDefault="003F4423">
      <w:pPr>
        <w:pStyle w:val="Indent10"/>
      </w:pPr>
      <w:r>
        <w:rPr>
          <w:b/>
          <w:bCs/>
        </w:rPr>
        <w:t>2.</w:t>
      </w:r>
      <w:r>
        <w:rPr>
          <w:b/>
          <w:bCs/>
        </w:rPr>
        <w:tab/>
      </w:r>
      <w:r>
        <w:t>any extension of an existing disease</w:t>
      </w:r>
    </w:p>
    <w:p w:rsidR="003F4423" w:rsidRDefault="003F4423">
      <w:pPr>
        <w:pStyle w:val="BT"/>
      </w:pPr>
      <w:r>
        <w:tab/>
        <w:t>on or after 10.10.94.</w:t>
      </w:r>
    </w:p>
    <w:p w:rsidR="003F4423" w:rsidRDefault="003F4423">
      <w:pPr>
        <w:pStyle w:val="BT"/>
      </w:pPr>
      <w:r>
        <w:tab/>
      </w:r>
      <w:r w:rsidR="0077334B">
        <w:t xml:space="preserve">64030 </w:t>
      </w:r>
      <w:r w:rsidR="009B72D2">
        <w:t>–</w:t>
      </w:r>
      <w:r>
        <w:t xml:space="preserve"> 64034</w:t>
      </w:r>
    </w:p>
    <w:p w:rsidR="003F4423" w:rsidRDefault="003F4423">
      <w:pPr>
        <w:pStyle w:val="SG"/>
      </w:pPr>
      <w:r>
        <w:t>Retirement Allowance</w:t>
      </w:r>
    </w:p>
    <w:p w:rsidR="003F4423" w:rsidRDefault="003F4423">
      <w:pPr>
        <w:pStyle w:val="BT"/>
      </w:pPr>
      <w:r>
        <w:t>64035</w:t>
      </w:r>
      <w:r>
        <w:tab/>
      </w:r>
      <w:bookmarkStart w:id="8" w:name="p64035"/>
      <w:bookmarkEnd w:id="8"/>
      <w:r>
        <w:t>A person entitled to Reduced Earnings Allowance is transferred to Retirement Allowance on reaching pension age if they are</w:t>
      </w:r>
    </w:p>
    <w:p w:rsidR="003F4423" w:rsidRDefault="003F4423">
      <w:pPr>
        <w:pStyle w:val="Indent10"/>
      </w:pPr>
      <w:r>
        <w:rPr>
          <w:b/>
          <w:bCs/>
        </w:rPr>
        <w:t>1.</w:t>
      </w:r>
      <w:r>
        <w:rPr>
          <w:b/>
          <w:bCs/>
        </w:rPr>
        <w:tab/>
      </w:r>
      <w:r w:rsidR="009B72D2">
        <w:t>not in regular employment</w:t>
      </w:r>
      <w:r>
        <w:t xml:space="preserve"> </w:t>
      </w:r>
      <w:r>
        <w:rPr>
          <w:b/>
          <w:bCs/>
        </w:rPr>
        <w:t>and</w:t>
      </w:r>
    </w:p>
    <w:p w:rsidR="003F4423" w:rsidRDefault="003F4423">
      <w:pPr>
        <w:pStyle w:val="Indent10"/>
      </w:pPr>
      <w:r>
        <w:rPr>
          <w:b/>
          <w:bCs/>
        </w:rPr>
        <w:t>2.</w:t>
      </w:r>
      <w:r>
        <w:rPr>
          <w:b/>
          <w:bCs/>
        </w:rPr>
        <w:tab/>
      </w:r>
      <w:r>
        <w:t>receiving Reduced Earnings Allowance of at least £2 a week.</w:t>
      </w:r>
    </w:p>
    <w:p w:rsidR="003F4423" w:rsidRDefault="003F4423">
      <w:pPr>
        <w:pStyle w:val="BT"/>
      </w:pPr>
      <w:r>
        <w:t>64036</w:t>
      </w:r>
      <w:r>
        <w:tab/>
        <w:t>Retirement Allowance is paid at 25% of the rate at which Reduced Earnings Allowance was paid, subject to the specified maximum rates of Retirement Allowance.</w:t>
      </w:r>
    </w:p>
    <w:p w:rsidR="003F4423" w:rsidRDefault="003F4423">
      <w:pPr>
        <w:pStyle w:val="SG"/>
      </w:pPr>
      <w:r>
        <w:t>Old Scheme cases</w:t>
      </w:r>
    </w:p>
    <w:p w:rsidR="00E74FFE" w:rsidRDefault="0077334B" w:rsidP="00E74FFE">
      <w:pPr>
        <w:pStyle w:val="BT"/>
      </w:pPr>
      <w:r>
        <w:t>64037</w:t>
      </w:r>
      <w:r w:rsidR="003F4423">
        <w:tab/>
      </w:r>
      <w:bookmarkStart w:id="9" w:name="p64040"/>
      <w:bookmarkEnd w:id="9"/>
      <w:r w:rsidR="009B72D2">
        <w:t>Old S</w:t>
      </w:r>
      <w:r w:rsidR="003F4423">
        <w:t xml:space="preserve">cheme cases are claims made under the Workmen's Compensation (Supplementation) Scheme and Pneumoconiosis, </w:t>
      </w:r>
      <w:proofErr w:type="spellStart"/>
      <w:r w:rsidR="003F4423">
        <w:t>Bysinosis</w:t>
      </w:r>
      <w:proofErr w:type="spellEnd"/>
      <w:r w:rsidR="003F4423">
        <w:t xml:space="preserve"> and Miscellaneous Diseases Benefits Schemes.  Entitlement arises from accidents occurring or diseases contracted before 5.7.48.</w:t>
      </w:r>
    </w:p>
    <w:p w:rsidR="00E74FFE" w:rsidRDefault="00E74FFE" w:rsidP="00E74FFE">
      <w:pPr>
        <w:pStyle w:val="SG"/>
      </w:pPr>
      <w:r>
        <w:lastRenderedPageBreak/>
        <w:t>Outline of conditions</w:t>
      </w:r>
    </w:p>
    <w:p w:rsidR="003F4423" w:rsidRDefault="009B72D2">
      <w:pPr>
        <w:pStyle w:val="BT"/>
      </w:pPr>
      <w:r>
        <w:rPr>
          <w:noProof/>
          <w:lang w:eastAsia="en-GB"/>
        </w:rPr>
        <w:pict>
          <v:shapetype id="_x0000_t32" coordsize="21600,21600" o:spt="32" o:oned="t" path="m,l21600,21600e" filled="f">
            <v:path arrowok="t" fillok="f" o:connecttype="none"/>
            <o:lock v:ext="edit" shapetype="t"/>
          </v:shapetype>
          <v:shape id="_x0000_s1032" type="#_x0000_t32" style="position:absolute;left:0;text-align:left;margin-left:36.9pt;margin-top:41.15pt;width:0;height:11.35pt;z-index:251658240" o:connectortype="straight"/>
        </w:pict>
      </w:r>
      <w:r w:rsidR="0077334B">
        <w:t>64038</w:t>
      </w:r>
      <w:r w:rsidR="003F4423">
        <w:tab/>
        <w:t>A separate Chapter of the Decision Makers Guide has not been issued for Old Scheme cases.  Administration of the benefit is centralised at D</w:t>
      </w:r>
      <w:r>
        <w:t>ecision Making Services, Level 5</w:t>
      </w:r>
      <w:r w:rsidR="003F4423">
        <w:t xml:space="preserve">, </w:t>
      </w:r>
      <w:r>
        <w:t>Nine Lanyon Place, Belfast, BT1 3LP</w:t>
      </w:r>
      <w:r w:rsidR="003F4423">
        <w:t>.  They hold a copy of the guidance used by decision makers for Old Scheme cases.</w:t>
      </w:r>
    </w:p>
    <w:p w:rsidR="003F4423" w:rsidRDefault="0077334B">
      <w:pPr>
        <w:pStyle w:val="BT"/>
      </w:pPr>
      <w:r>
        <w:tab/>
        <w:t>64039</w:t>
      </w:r>
      <w:r w:rsidR="003F4423">
        <w:t xml:space="preserve"> </w:t>
      </w:r>
      <w:r w:rsidR="009B72D2">
        <w:t>–</w:t>
      </w:r>
      <w:r w:rsidR="003F4423">
        <w:t xml:space="preserve"> 64043</w:t>
      </w:r>
    </w:p>
    <w:p w:rsidR="003F4423" w:rsidRDefault="003F4423">
      <w:pPr>
        <w:pStyle w:val="SG"/>
      </w:pPr>
      <w:r>
        <w:t>Industrial Death Benefit</w:t>
      </w:r>
    </w:p>
    <w:p w:rsidR="003F4423" w:rsidRDefault="003F4423">
      <w:pPr>
        <w:pStyle w:val="BT"/>
      </w:pPr>
      <w:r>
        <w:t>64044</w:t>
      </w:r>
      <w:r>
        <w:tab/>
      </w:r>
      <w:bookmarkStart w:id="10" w:name="p64044"/>
      <w:bookmarkEnd w:id="10"/>
      <w:r>
        <w:t>Industrial Death Benefit is industrial injuries widow's benefit paid because a woman's husband died as a result of an industrial accident or prescribed disease.  The benefit was abolished from 11.4.88 but existing beneficiaries at that date continue to be entitled while they satisfy the entitlement conditions.</w:t>
      </w:r>
    </w:p>
    <w:p w:rsidR="003F4423" w:rsidRDefault="003F4423">
      <w:pPr>
        <w:pStyle w:val="BT"/>
      </w:pPr>
      <w:r>
        <w:t>64045</w:t>
      </w:r>
      <w:r>
        <w:tab/>
        <w:t>A separate chapter of the guidance has not been issued for Industrial Death Benefit.  Where necessary decision makers should retain the current Adjudication Officer’s Guide on Industrial Death Benefit.</w:t>
      </w:r>
    </w:p>
    <w:p w:rsidR="003F4423" w:rsidRDefault="005C7C97">
      <w:pPr>
        <w:pStyle w:val="BT"/>
      </w:pPr>
      <w:r>
        <w:tab/>
        <w:t xml:space="preserve">64046 </w:t>
      </w:r>
      <w:r w:rsidR="009B72D2">
        <w:t>–</w:t>
      </w:r>
      <w:r w:rsidR="003F4423">
        <w:t xml:space="preserve"> 64059</w:t>
      </w:r>
    </w:p>
    <w:p w:rsidR="003F4423" w:rsidRDefault="003F4423">
      <w:pPr>
        <w:pStyle w:val="BT"/>
      </w:pPr>
    </w:p>
    <w:p w:rsidR="003F4423" w:rsidRDefault="003F4423">
      <w:pPr>
        <w:pStyle w:val="TG"/>
        <w:spacing w:before="0" w:after="0" w:line="360" w:lineRule="auto"/>
        <w:jc w:val="both"/>
        <w:rPr>
          <w:sz w:val="20"/>
        </w:rPr>
        <w:sectPr w:rsidR="003F4423">
          <w:headerReference w:type="default" r:id="rId9"/>
          <w:footerReference w:type="default" r:id="rId10"/>
          <w:pgSz w:w="11907" w:h="16840" w:code="9"/>
          <w:pgMar w:top="1440" w:right="1797" w:bottom="1440" w:left="1797" w:header="720" w:footer="720" w:gutter="0"/>
          <w:cols w:space="720"/>
          <w:noEndnote/>
        </w:sectPr>
      </w:pPr>
    </w:p>
    <w:p w:rsidR="003F4423" w:rsidRDefault="003F4423">
      <w:pPr>
        <w:pStyle w:val="TG"/>
      </w:pPr>
      <w:r>
        <w:lastRenderedPageBreak/>
        <w:t>Decision Making and Appeal changes from 5.7.99</w:t>
      </w:r>
    </w:p>
    <w:p w:rsidR="003F4423" w:rsidRDefault="003F4423">
      <w:pPr>
        <w:pStyle w:val="SG"/>
      </w:pPr>
      <w:r>
        <w:t>General</w:t>
      </w:r>
    </w:p>
    <w:p w:rsidR="003F4423" w:rsidRDefault="003F4423">
      <w:pPr>
        <w:pStyle w:val="BT"/>
      </w:pPr>
      <w:r>
        <w:t>64060</w:t>
      </w:r>
      <w:r>
        <w:tab/>
      </w:r>
      <w:bookmarkStart w:id="11" w:name="p64060"/>
      <w:bookmarkEnd w:id="11"/>
      <w:r>
        <w:t>From 5.7.99 major changes are made to the decision making and appeals law.  For be</w:t>
      </w:r>
      <w:r w:rsidR="00E74FFE">
        <w:t>nefits in the Industrial Injuries Scheme the two major changes are</w:t>
      </w:r>
    </w:p>
    <w:p w:rsidR="003F4423" w:rsidRDefault="003F4423">
      <w:pPr>
        <w:pStyle w:val="Indent10"/>
      </w:pPr>
      <w:r>
        <w:rPr>
          <w:b/>
          <w:bCs/>
        </w:rPr>
        <w:t>1.</w:t>
      </w:r>
      <w:r>
        <w:rPr>
          <w:b/>
          <w:bCs/>
        </w:rPr>
        <w:tab/>
      </w:r>
      <w:r>
        <w:t>stat</w:t>
      </w:r>
      <w:r w:rsidR="005C7C97">
        <w:t>us of decision makers (DMG 64061</w:t>
      </w:r>
      <w:r w:rsidR="009B72D2">
        <w:t>)</w:t>
      </w:r>
      <w:r>
        <w:t xml:space="preserve"> </w:t>
      </w:r>
      <w:r>
        <w:rPr>
          <w:b/>
          <w:bCs/>
        </w:rPr>
        <w:t>and</w:t>
      </w:r>
    </w:p>
    <w:p w:rsidR="003F4423" w:rsidRDefault="003F4423">
      <w:pPr>
        <w:pStyle w:val="Indent10"/>
      </w:pPr>
      <w:r>
        <w:rPr>
          <w:b/>
          <w:bCs/>
        </w:rPr>
        <w:t>2.</w:t>
      </w:r>
      <w:r>
        <w:rPr>
          <w:b/>
          <w:bCs/>
        </w:rPr>
        <w:tab/>
      </w:r>
      <w:r>
        <w:t>lay decision maker</w:t>
      </w:r>
      <w:r w:rsidR="005C7C97">
        <w:t>s rather than doctors (DMG 64062</w:t>
      </w:r>
      <w:r>
        <w:t>) will now make decisions.</w:t>
      </w:r>
    </w:p>
    <w:p w:rsidR="003F4423" w:rsidRDefault="003F4423">
      <w:pPr>
        <w:pStyle w:val="SG"/>
      </w:pPr>
      <w:r>
        <w:t>Status of decision makers</w:t>
      </w:r>
    </w:p>
    <w:p w:rsidR="003F4423" w:rsidRDefault="005C7C97">
      <w:pPr>
        <w:pStyle w:val="BT"/>
      </w:pPr>
      <w:r>
        <w:t>64061</w:t>
      </w:r>
      <w:r w:rsidR="003F4423">
        <w:tab/>
      </w:r>
      <w:bookmarkStart w:id="12" w:name="p64064"/>
      <w:bookmarkEnd w:id="12"/>
      <w:r w:rsidR="003F4423">
        <w:t>From 5.7.99 all decisions will be made on behalf of the Department.  This replaces the system under which some decisions are made by independent adjudication officers and some on behalf of the Department.</w:t>
      </w:r>
    </w:p>
    <w:p w:rsidR="003F4423" w:rsidRDefault="003F4423">
      <w:pPr>
        <w:pStyle w:val="SG"/>
      </w:pPr>
      <w:r>
        <w:t>Lay decision making</w:t>
      </w:r>
    </w:p>
    <w:p w:rsidR="003F4423" w:rsidRDefault="005C7C97">
      <w:pPr>
        <w:pStyle w:val="BT"/>
      </w:pPr>
      <w:r>
        <w:t>64062</w:t>
      </w:r>
      <w:r w:rsidR="003F4423">
        <w:tab/>
      </w:r>
      <w:bookmarkStart w:id="13" w:name="p64069"/>
      <w:bookmarkEnd w:id="13"/>
      <w:r w:rsidR="003F4423">
        <w:t>From 5.7.99 decisions on entitlement to Industrial Injuries benefits will be made by lay decision makers.  Decisions on entitlement to benefit will be made by the decision makers on all the evidence, including advice from doctors.</w:t>
      </w:r>
    </w:p>
    <w:p w:rsidR="003F4423" w:rsidRDefault="005C7C97">
      <w:pPr>
        <w:pStyle w:val="BT"/>
      </w:pPr>
      <w:r>
        <w:tab/>
        <w:t>64063</w:t>
      </w:r>
      <w:r w:rsidR="003F4423">
        <w:t xml:space="preserve"> </w:t>
      </w:r>
      <w:r w:rsidR="009B72D2">
        <w:t>–</w:t>
      </w:r>
      <w:r w:rsidR="003F4423">
        <w:t xml:space="preserve"> 64999</w:t>
      </w:r>
    </w:p>
    <w:p w:rsidR="003F4423" w:rsidRDefault="003F4423">
      <w:pPr>
        <w:spacing w:line="360" w:lineRule="auto"/>
        <w:jc w:val="both"/>
        <w:rPr>
          <w:rFonts w:ascii="Helvetica" w:hAnsi="Helvetica"/>
        </w:rPr>
      </w:pPr>
    </w:p>
    <w:sectPr w:rsidR="003F4423">
      <w:headerReference w:type="default" r:id="rId11"/>
      <w:footerReference w:type="default" r:id="rId12"/>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DB" w:rsidRDefault="00122DDB">
      <w:r>
        <w:separator/>
      </w:r>
    </w:p>
  </w:endnote>
  <w:endnote w:type="continuationSeparator" w:id="0">
    <w:p w:rsidR="00122DDB" w:rsidRDefault="0012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68" w:rsidRDefault="00693968">
    <w:pPr>
      <w:pStyle w:val="BT"/>
      <w:pBdr>
        <w:between w:val="single" w:sz="4" w:space="1" w:color="auto"/>
      </w:pBdr>
      <w:tabs>
        <w:tab w:val="right" w:pos="8222"/>
      </w:tabs>
      <w:spacing w:before="120" w:after="0" w:line="240" w:lineRule="auto"/>
      <w:rPr>
        <w:i/>
        <w:iCs/>
        <w:sz w:val="18"/>
        <w:szCs w:val="18"/>
      </w:rPr>
    </w:pPr>
  </w:p>
  <w:p w:rsidR="00693968" w:rsidRDefault="00693968">
    <w:pPr>
      <w:pStyle w:val="BT"/>
      <w:pBdr>
        <w:top w:val="single" w:sz="4" w:space="3" w:color="auto"/>
      </w:pBdr>
      <w:tabs>
        <w:tab w:val="right" w:pos="8364"/>
      </w:tabs>
      <w:spacing w:before="120" w:after="0" w:line="240" w:lineRule="auto"/>
      <w:rPr>
        <w:i/>
        <w:iCs/>
        <w:sz w:val="18"/>
      </w:rPr>
    </w:pPr>
    <w:r>
      <w:rPr>
        <w:i/>
        <w:iCs/>
        <w:sz w:val="18"/>
      </w:rPr>
      <w:t>Volume 11 Amendment 13</w:t>
    </w:r>
    <w:r>
      <w:rPr>
        <w:i/>
        <w:iCs/>
        <w:sz w:val="18"/>
      </w:rPr>
      <w:tab/>
      <w:t>August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68" w:rsidRDefault="00693968">
    <w:pPr>
      <w:pStyle w:val="BT"/>
      <w:pBdr>
        <w:between w:val="single" w:sz="4" w:space="1" w:color="auto"/>
      </w:pBdr>
      <w:tabs>
        <w:tab w:val="right" w:pos="8222"/>
      </w:tabs>
      <w:spacing w:before="120" w:after="0" w:line="240" w:lineRule="auto"/>
      <w:rPr>
        <w:i/>
        <w:iCs/>
        <w:sz w:val="18"/>
        <w:szCs w:val="18"/>
      </w:rPr>
    </w:pPr>
  </w:p>
  <w:p w:rsidR="00693968" w:rsidRDefault="00693968">
    <w:pPr>
      <w:pStyle w:val="BT"/>
      <w:pBdr>
        <w:top w:val="single" w:sz="4" w:space="3" w:color="auto"/>
      </w:pBdr>
      <w:tabs>
        <w:tab w:val="right" w:pos="8364"/>
      </w:tabs>
      <w:spacing w:before="120" w:after="0" w:line="240" w:lineRule="auto"/>
      <w:rPr>
        <w:i/>
        <w:iCs/>
        <w:sz w:val="18"/>
      </w:rPr>
    </w:pPr>
    <w:r>
      <w:rPr>
        <w:i/>
        <w:iCs/>
        <w:sz w:val="18"/>
      </w:rPr>
      <w:t>Volume 11</w:t>
    </w:r>
    <w:r w:rsidR="009B72D2">
      <w:rPr>
        <w:i/>
        <w:iCs/>
        <w:sz w:val="18"/>
      </w:rPr>
      <w:tab/>
    </w:r>
    <w:r w:rsidR="009B72D2">
      <w:rPr>
        <w:i/>
        <w:iCs/>
        <w:sz w:val="18"/>
      </w:rPr>
      <w:tab/>
    </w:r>
    <w:r>
      <w:rPr>
        <w:i/>
        <w:iCs/>
        <w:sz w:val="18"/>
      </w:rPr>
      <w:tab/>
    </w:r>
    <w:r w:rsidR="009B72D2">
      <w:rPr>
        <w:i/>
        <w:iCs/>
        <w:sz w:val="18"/>
      </w:rPr>
      <w:t>February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68" w:rsidRDefault="00693968">
    <w:pPr>
      <w:pStyle w:val="BT"/>
      <w:pBdr>
        <w:between w:val="single" w:sz="4" w:space="1" w:color="auto"/>
      </w:pBdr>
      <w:tabs>
        <w:tab w:val="right" w:pos="8222"/>
      </w:tabs>
      <w:spacing w:before="120" w:after="0" w:line="240" w:lineRule="auto"/>
      <w:rPr>
        <w:i/>
        <w:iCs/>
        <w:sz w:val="18"/>
        <w:szCs w:val="18"/>
      </w:rPr>
    </w:pPr>
  </w:p>
  <w:p w:rsidR="00693968" w:rsidRDefault="00693968">
    <w:pPr>
      <w:pStyle w:val="BT"/>
      <w:pBdr>
        <w:top w:val="single" w:sz="4" w:space="3" w:color="auto"/>
      </w:pBdr>
      <w:tabs>
        <w:tab w:val="right" w:pos="8364"/>
      </w:tabs>
      <w:spacing w:before="120" w:after="0" w:line="240" w:lineRule="auto"/>
      <w:rPr>
        <w:i/>
        <w:iCs/>
        <w:sz w:val="18"/>
      </w:rPr>
    </w:pPr>
    <w:r>
      <w:rPr>
        <w:i/>
        <w:iCs/>
        <w:sz w:val="18"/>
      </w:rPr>
      <w:t>Volume 11 Amendment 13</w:t>
    </w:r>
    <w:r>
      <w:rPr>
        <w:i/>
        <w:iCs/>
        <w:sz w:val="18"/>
      </w:rPr>
      <w:tab/>
      <w:t>August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DB" w:rsidRDefault="00122DDB">
      <w:r>
        <w:separator/>
      </w:r>
    </w:p>
  </w:footnote>
  <w:footnote w:type="continuationSeparator" w:id="0">
    <w:p w:rsidR="00122DDB" w:rsidRDefault="00122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68" w:rsidRDefault="0069396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693968" w:rsidRDefault="00693968">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68" w:rsidRDefault="0069396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Introduction</w:t>
    </w:r>
  </w:p>
  <w:p w:rsidR="00693968" w:rsidRDefault="00693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68" w:rsidRDefault="00693968">
    <w:pPr>
      <w:pStyle w:val="BT"/>
      <w:pBdr>
        <w:bottom w:val="single" w:sz="4" w:space="3" w:color="auto"/>
      </w:pBdr>
      <w:tabs>
        <w:tab w:val="clear" w:pos="851"/>
        <w:tab w:val="clear" w:pos="1418"/>
        <w:tab w:val="clear" w:pos="1701"/>
        <w:tab w:val="right" w:pos="8364"/>
        <w:tab w:val="right" w:pos="8505"/>
      </w:tabs>
      <w:ind w:left="0" w:firstLine="0"/>
      <w:rPr>
        <w:i/>
        <w:sz w:val="18"/>
        <w:szCs w:val="18"/>
      </w:rPr>
    </w:pPr>
    <w:r>
      <w:rPr>
        <w:i/>
        <w:sz w:val="18"/>
        <w:szCs w:val="18"/>
      </w:rPr>
      <w:t>Decision Makers Guide</w:t>
    </w:r>
    <w:r>
      <w:rPr>
        <w:i/>
        <w:sz w:val="18"/>
        <w:szCs w:val="18"/>
      </w:rPr>
      <w:tab/>
      <w:t>Decision Making and Appeal changes from 5.7.99</w:t>
    </w:r>
  </w:p>
  <w:p w:rsidR="00693968" w:rsidRDefault="00693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4D6"/>
    <w:multiLevelType w:val="singleLevel"/>
    <w:tmpl w:val="94E6BF9A"/>
    <w:lvl w:ilvl="0">
      <w:start w:val="1"/>
      <w:numFmt w:val="bullet"/>
      <w:pStyle w:val="Indent2"/>
      <w:lvlText w:val=""/>
      <w:lvlJc w:val="left"/>
      <w:pPr>
        <w:tabs>
          <w:tab w:val="num" w:pos="1778"/>
        </w:tabs>
        <w:ind w:left="1758" w:hanging="340"/>
      </w:pPr>
      <w:rPr>
        <w:rFonts w:ascii="Symbol" w:hAnsi="Symbol" w:hint="default"/>
      </w:rPr>
    </w:lvl>
  </w:abstractNum>
  <w:abstractNum w:abstractNumId="1" w15:restartNumberingAfterBreak="0">
    <w:nsid w:val="09262E1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0F8E64A4"/>
    <w:multiLevelType w:val="singleLevel"/>
    <w:tmpl w:val="596886A0"/>
    <w:lvl w:ilvl="0">
      <w:start w:val="1"/>
      <w:numFmt w:val="decimal"/>
      <w:lvlText w:val="%1."/>
      <w:lvlJc w:val="left"/>
      <w:pPr>
        <w:tabs>
          <w:tab w:val="num" w:pos="1361"/>
        </w:tabs>
        <w:ind w:left="1361" w:hanging="511"/>
      </w:pPr>
      <w:rPr>
        <w:rFonts w:cs="Times New Roman" w:hint="default"/>
        <w:b/>
      </w:rPr>
    </w:lvl>
  </w:abstractNum>
  <w:abstractNum w:abstractNumId="3" w15:restartNumberingAfterBreak="0">
    <w:nsid w:val="109D0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D248D5"/>
    <w:multiLevelType w:val="singleLevel"/>
    <w:tmpl w:val="0792BAE6"/>
    <w:lvl w:ilvl="0">
      <w:start w:val="1"/>
      <w:numFmt w:val="bullet"/>
      <w:pStyle w:val="Indent1"/>
      <w:lvlText w:val=""/>
      <w:lvlJc w:val="left"/>
      <w:pPr>
        <w:tabs>
          <w:tab w:val="num" w:pos="1211"/>
        </w:tabs>
        <w:ind w:left="1191" w:hanging="340"/>
      </w:pPr>
      <w:rPr>
        <w:rFonts w:ascii="Symbol" w:hAnsi="Symbol" w:hint="default"/>
      </w:rPr>
    </w:lvl>
  </w:abstractNum>
  <w:abstractNum w:abstractNumId="5" w15:restartNumberingAfterBreak="0">
    <w:nsid w:val="18C26F4C"/>
    <w:multiLevelType w:val="singleLevel"/>
    <w:tmpl w:val="EF089BF2"/>
    <w:lvl w:ilvl="0">
      <w:start w:val="1"/>
      <w:numFmt w:val="decimal"/>
      <w:lvlText w:val="%1."/>
      <w:lvlJc w:val="left"/>
      <w:pPr>
        <w:tabs>
          <w:tab w:val="num" w:pos="1361"/>
        </w:tabs>
        <w:ind w:left="1361" w:hanging="511"/>
      </w:pPr>
      <w:rPr>
        <w:rFonts w:cs="Times New Roman" w:hint="default"/>
        <w:b/>
      </w:rPr>
    </w:lvl>
  </w:abstractNum>
  <w:abstractNum w:abstractNumId="6" w15:restartNumberingAfterBreak="0">
    <w:nsid w:val="206B69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9D6A62"/>
    <w:multiLevelType w:val="singleLevel"/>
    <w:tmpl w:val="EF089BF2"/>
    <w:lvl w:ilvl="0">
      <w:start w:val="1"/>
      <w:numFmt w:val="decimal"/>
      <w:lvlText w:val="%1."/>
      <w:lvlJc w:val="left"/>
      <w:pPr>
        <w:tabs>
          <w:tab w:val="num" w:pos="1361"/>
        </w:tabs>
        <w:ind w:left="1361" w:hanging="511"/>
      </w:pPr>
      <w:rPr>
        <w:rFonts w:cs="Times New Roman" w:hint="default"/>
        <w:b/>
      </w:rPr>
    </w:lvl>
  </w:abstractNum>
  <w:abstractNum w:abstractNumId="8" w15:restartNumberingAfterBreak="0">
    <w:nsid w:val="35BE6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4720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F47BD7"/>
    <w:multiLevelType w:val="singleLevel"/>
    <w:tmpl w:val="677EC7F6"/>
    <w:lvl w:ilvl="0">
      <w:start w:val="1"/>
      <w:numFmt w:val="decimal"/>
      <w:lvlText w:val="%1."/>
      <w:lvlJc w:val="left"/>
      <w:pPr>
        <w:tabs>
          <w:tab w:val="num" w:pos="1361"/>
        </w:tabs>
        <w:ind w:left="1361" w:hanging="511"/>
      </w:pPr>
      <w:rPr>
        <w:rFonts w:cs="Times New Roman" w:hint="default"/>
        <w:b/>
      </w:rPr>
    </w:lvl>
  </w:abstractNum>
  <w:abstractNum w:abstractNumId="11" w15:restartNumberingAfterBreak="0">
    <w:nsid w:val="407A4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520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9A57AC"/>
    <w:multiLevelType w:val="singleLevel"/>
    <w:tmpl w:val="88C0C6D6"/>
    <w:lvl w:ilvl="0">
      <w:start w:val="1"/>
      <w:numFmt w:val="decimal"/>
      <w:lvlText w:val="%1."/>
      <w:lvlJc w:val="left"/>
      <w:pPr>
        <w:tabs>
          <w:tab w:val="num" w:pos="1361"/>
        </w:tabs>
        <w:ind w:left="1361" w:hanging="511"/>
      </w:pPr>
      <w:rPr>
        <w:rFonts w:cs="Times New Roman" w:hint="default"/>
      </w:rPr>
    </w:lvl>
  </w:abstractNum>
  <w:abstractNum w:abstractNumId="14" w15:restartNumberingAfterBreak="0">
    <w:nsid w:val="436A0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680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ED4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5F73C2"/>
    <w:multiLevelType w:val="singleLevel"/>
    <w:tmpl w:val="88C0C6D6"/>
    <w:lvl w:ilvl="0">
      <w:start w:val="1"/>
      <w:numFmt w:val="decimal"/>
      <w:lvlText w:val="%1."/>
      <w:lvlJc w:val="left"/>
      <w:pPr>
        <w:tabs>
          <w:tab w:val="num" w:pos="1361"/>
        </w:tabs>
        <w:ind w:left="1361" w:hanging="511"/>
      </w:pPr>
      <w:rPr>
        <w:rFonts w:cs="Times New Roman" w:hint="default"/>
      </w:rPr>
    </w:lvl>
  </w:abstractNum>
  <w:abstractNum w:abstractNumId="18" w15:restartNumberingAfterBreak="0">
    <w:nsid w:val="4E433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111481"/>
    <w:multiLevelType w:val="singleLevel"/>
    <w:tmpl w:val="3126C4E2"/>
    <w:lvl w:ilvl="0">
      <w:start w:val="1"/>
      <w:numFmt w:val="decimal"/>
      <w:lvlText w:val="%1."/>
      <w:lvlJc w:val="left"/>
      <w:pPr>
        <w:tabs>
          <w:tab w:val="num" w:pos="1405"/>
        </w:tabs>
        <w:ind w:left="1405" w:hanging="555"/>
      </w:pPr>
      <w:rPr>
        <w:rFonts w:cs="Times New Roman" w:hint="default"/>
        <w:b/>
      </w:rPr>
    </w:lvl>
  </w:abstractNum>
  <w:abstractNum w:abstractNumId="20" w15:restartNumberingAfterBreak="0">
    <w:nsid w:val="52B06415"/>
    <w:multiLevelType w:val="singleLevel"/>
    <w:tmpl w:val="5E76437E"/>
    <w:lvl w:ilvl="0">
      <w:start w:val="1"/>
      <w:numFmt w:val="decimal"/>
      <w:lvlText w:val="%1."/>
      <w:lvlJc w:val="left"/>
      <w:pPr>
        <w:tabs>
          <w:tab w:val="num" w:pos="1361"/>
        </w:tabs>
        <w:ind w:left="1361" w:hanging="511"/>
      </w:pPr>
      <w:rPr>
        <w:rFonts w:cs="Times New Roman" w:hint="default"/>
        <w:b/>
      </w:rPr>
    </w:lvl>
  </w:abstractNum>
  <w:abstractNum w:abstractNumId="21" w15:restartNumberingAfterBreak="0">
    <w:nsid w:val="562C11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2E6BAD"/>
    <w:multiLevelType w:val="singleLevel"/>
    <w:tmpl w:val="3126C4E2"/>
    <w:lvl w:ilvl="0">
      <w:start w:val="1"/>
      <w:numFmt w:val="decimal"/>
      <w:lvlText w:val="%1."/>
      <w:lvlJc w:val="left"/>
      <w:pPr>
        <w:tabs>
          <w:tab w:val="num" w:pos="1405"/>
        </w:tabs>
        <w:ind w:left="1405" w:hanging="555"/>
      </w:pPr>
      <w:rPr>
        <w:rFonts w:cs="Times New Roman" w:hint="default"/>
        <w:b/>
      </w:rPr>
    </w:lvl>
  </w:abstractNum>
  <w:abstractNum w:abstractNumId="23" w15:restartNumberingAfterBreak="0">
    <w:nsid w:val="56F07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EA412D"/>
    <w:multiLevelType w:val="singleLevel"/>
    <w:tmpl w:val="19D6874A"/>
    <w:lvl w:ilvl="0">
      <w:start w:val="1"/>
      <w:numFmt w:val="decimal"/>
      <w:lvlText w:val="%1."/>
      <w:lvlJc w:val="left"/>
      <w:pPr>
        <w:tabs>
          <w:tab w:val="num" w:pos="1361"/>
        </w:tabs>
        <w:ind w:left="1361" w:hanging="511"/>
      </w:pPr>
      <w:rPr>
        <w:rFonts w:cs="Times New Roman" w:hint="default"/>
        <w:b/>
      </w:rPr>
    </w:lvl>
  </w:abstractNum>
  <w:abstractNum w:abstractNumId="25" w15:restartNumberingAfterBreak="0">
    <w:nsid w:val="5AD56F50"/>
    <w:multiLevelType w:val="singleLevel"/>
    <w:tmpl w:val="5E76437E"/>
    <w:lvl w:ilvl="0">
      <w:start w:val="1"/>
      <w:numFmt w:val="decimal"/>
      <w:lvlText w:val="%1."/>
      <w:lvlJc w:val="left"/>
      <w:pPr>
        <w:tabs>
          <w:tab w:val="num" w:pos="1361"/>
        </w:tabs>
        <w:ind w:left="1361" w:hanging="511"/>
      </w:pPr>
      <w:rPr>
        <w:rFonts w:cs="Times New Roman" w:hint="default"/>
        <w:b/>
      </w:rPr>
    </w:lvl>
  </w:abstractNum>
  <w:abstractNum w:abstractNumId="26" w15:restartNumberingAfterBreak="0">
    <w:nsid w:val="5D7F2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CB7F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076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E111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5C6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3A0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B05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A068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A13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651076"/>
    <w:multiLevelType w:val="singleLevel"/>
    <w:tmpl w:val="596886A0"/>
    <w:lvl w:ilvl="0">
      <w:start w:val="1"/>
      <w:numFmt w:val="decimal"/>
      <w:lvlText w:val="%1."/>
      <w:lvlJc w:val="left"/>
      <w:pPr>
        <w:tabs>
          <w:tab w:val="num" w:pos="1361"/>
        </w:tabs>
        <w:ind w:left="1361" w:hanging="511"/>
      </w:pPr>
      <w:rPr>
        <w:rFonts w:cs="Times New Roman" w:hint="default"/>
        <w:b/>
      </w:rPr>
    </w:lvl>
  </w:abstractNum>
  <w:abstractNum w:abstractNumId="36" w15:restartNumberingAfterBreak="0">
    <w:nsid w:val="7E636C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5"/>
  </w:num>
  <w:num w:numId="3">
    <w:abstractNumId w:val="19"/>
  </w:num>
  <w:num w:numId="4">
    <w:abstractNumId w:val="22"/>
  </w:num>
  <w:num w:numId="5">
    <w:abstractNumId w:val="24"/>
  </w:num>
  <w:num w:numId="6">
    <w:abstractNumId w:val="20"/>
  </w:num>
  <w:num w:numId="7">
    <w:abstractNumId w:val="17"/>
  </w:num>
  <w:num w:numId="8">
    <w:abstractNumId w:val="13"/>
  </w:num>
  <w:num w:numId="9">
    <w:abstractNumId w:val="7"/>
  </w:num>
  <w:num w:numId="10">
    <w:abstractNumId w:val="5"/>
  </w:num>
  <w:num w:numId="11">
    <w:abstractNumId w:val="35"/>
  </w:num>
  <w:num w:numId="12">
    <w:abstractNumId w:val="2"/>
  </w:num>
  <w:num w:numId="13">
    <w:abstractNumId w:val="10"/>
  </w:num>
  <w:num w:numId="14">
    <w:abstractNumId w:val="30"/>
  </w:num>
  <w:num w:numId="15">
    <w:abstractNumId w:val="11"/>
  </w:num>
  <w:num w:numId="16">
    <w:abstractNumId w:val="28"/>
  </w:num>
  <w:num w:numId="17">
    <w:abstractNumId w:val="18"/>
  </w:num>
  <w:num w:numId="18">
    <w:abstractNumId w:val="14"/>
  </w:num>
  <w:num w:numId="19">
    <w:abstractNumId w:val="26"/>
  </w:num>
  <w:num w:numId="20">
    <w:abstractNumId w:val="23"/>
  </w:num>
  <w:num w:numId="21">
    <w:abstractNumId w:val="21"/>
  </w:num>
  <w:num w:numId="22">
    <w:abstractNumId w:val="36"/>
  </w:num>
  <w:num w:numId="23">
    <w:abstractNumId w:val="6"/>
  </w:num>
  <w:num w:numId="24">
    <w:abstractNumId w:val="27"/>
  </w:num>
  <w:num w:numId="25">
    <w:abstractNumId w:val="15"/>
  </w:num>
  <w:num w:numId="26">
    <w:abstractNumId w:val="29"/>
  </w:num>
  <w:num w:numId="27">
    <w:abstractNumId w:val="12"/>
  </w:num>
  <w:num w:numId="28">
    <w:abstractNumId w:val="33"/>
  </w:num>
  <w:num w:numId="29">
    <w:abstractNumId w:val="3"/>
  </w:num>
  <w:num w:numId="30">
    <w:abstractNumId w:val="16"/>
  </w:num>
  <w:num w:numId="31">
    <w:abstractNumId w:val="31"/>
  </w:num>
  <w:num w:numId="32">
    <w:abstractNumId w:val="34"/>
  </w:num>
  <w:num w:numId="33">
    <w:abstractNumId w:val="9"/>
  </w:num>
  <w:num w:numId="34">
    <w:abstractNumId w:val="32"/>
  </w:num>
  <w:num w:numId="35">
    <w:abstractNumId w:val="8"/>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A2B"/>
    <w:rsid w:val="00105D29"/>
    <w:rsid w:val="00122DDB"/>
    <w:rsid w:val="00192ED6"/>
    <w:rsid w:val="00213715"/>
    <w:rsid w:val="00260386"/>
    <w:rsid w:val="00350FA2"/>
    <w:rsid w:val="003F4423"/>
    <w:rsid w:val="00443A89"/>
    <w:rsid w:val="005C7C97"/>
    <w:rsid w:val="00693968"/>
    <w:rsid w:val="007161FA"/>
    <w:rsid w:val="007233C0"/>
    <w:rsid w:val="00723B91"/>
    <w:rsid w:val="0077334B"/>
    <w:rsid w:val="0086006C"/>
    <w:rsid w:val="00876335"/>
    <w:rsid w:val="009B72D2"/>
    <w:rsid w:val="00A0518E"/>
    <w:rsid w:val="00BC4078"/>
    <w:rsid w:val="00C619E9"/>
    <w:rsid w:val="00CB5253"/>
    <w:rsid w:val="00E74FFE"/>
    <w:rsid w:val="00F65D2A"/>
    <w:rsid w:val="00F75237"/>
    <w:rsid w:val="00F9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2" type="connector" idref="#_x0000_s1032"/>
      </o:rules>
    </o:shapelayout>
  </w:shapeDefaults>
  <w:decimalSymbol w:val="."/>
  <w:listSeparator w:val=","/>
  <w15:docId w15:val="{92BB5383-CB2B-4AAA-83B5-9FC220C7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rFonts w:ascii="Univers" w:hAnsi="Univer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2">
    <w:name w:val="Cont 2"/>
    <w:pPr>
      <w:tabs>
        <w:tab w:val="right" w:leader="dot" w:pos="7937"/>
      </w:tabs>
      <w:spacing w:before="57" w:after="57" w:line="340" w:lineRule="atLeast"/>
      <w:ind w:left="1134"/>
    </w:pPr>
    <w:rPr>
      <w:rFonts w:ascii="Helvetica" w:hAnsi="Helvetica"/>
      <w:lang w:eastAsia="en-US"/>
    </w:rPr>
  </w:style>
  <w:style w:type="paragraph" w:customStyle="1" w:styleId="Cont1">
    <w:name w:val="Cont 1"/>
    <w:pPr>
      <w:tabs>
        <w:tab w:val="right" w:leader="dot" w:pos="7937"/>
      </w:tabs>
      <w:spacing w:before="57" w:after="57" w:line="340" w:lineRule="atLeast"/>
      <w:ind w:left="850"/>
    </w:pPr>
    <w:rPr>
      <w:rFonts w:ascii="Helvetica" w:hAnsi="Helvetica"/>
      <w:lang w:eastAsia="en-US"/>
    </w:rPr>
  </w:style>
  <w:style w:type="paragraph" w:customStyle="1" w:styleId="PT">
    <w:name w:val="PT"/>
    <w:pPr>
      <w:pageBreakBefore/>
      <w:tabs>
        <w:tab w:val="left" w:pos="850"/>
      </w:tabs>
      <w:spacing w:after="283"/>
      <w:ind w:left="850" w:right="283"/>
    </w:pPr>
    <w:rPr>
      <w:rFonts w:ascii="Helvetica" w:hAnsi="Helvetica"/>
      <w:b/>
      <w:sz w:val="40"/>
      <w:lang w:eastAsia="en-US"/>
    </w:rPr>
  </w:style>
  <w:style w:type="paragraph" w:customStyle="1" w:styleId="TG">
    <w:name w:val="TG"/>
    <w:next w:val="BT"/>
    <w:pPr>
      <w:spacing w:before="360" w:after="120"/>
      <w:ind w:left="851" w:right="284"/>
    </w:pPr>
    <w:rPr>
      <w:rFonts w:ascii="Helvetica" w:hAnsi="Helvetica"/>
      <w:b/>
      <w:sz w:val="34"/>
      <w:lang w:eastAsia="en-US"/>
    </w:rPr>
  </w:style>
  <w:style w:type="paragraph" w:customStyle="1" w:styleId="Indent1">
    <w:name w:val="Indent1"/>
    <w:pPr>
      <w:numPr>
        <w:numId w:val="36"/>
      </w:numPr>
      <w:tabs>
        <w:tab w:val="clear" w:pos="1211"/>
        <w:tab w:val="left" w:pos="1191"/>
      </w:tabs>
      <w:spacing w:after="113" w:line="340" w:lineRule="atLeast"/>
      <w:jc w:val="both"/>
    </w:pPr>
    <w:rPr>
      <w:rFonts w:ascii="Helvetica" w:hAnsi="Helvetica"/>
      <w:lang w:eastAsia="en-US"/>
    </w:rPr>
  </w:style>
  <w:style w:type="paragraph" w:customStyle="1" w:styleId="BT">
    <w:name w:val="BT"/>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SG">
    <w:name w:val="SG"/>
    <w:next w:val="BT"/>
    <w:pPr>
      <w:spacing w:before="340" w:after="340"/>
      <w:ind w:left="850"/>
    </w:pPr>
    <w:rPr>
      <w:rFonts w:ascii="Helvetica" w:hAnsi="Helvetica"/>
      <w:b/>
      <w:sz w:val="28"/>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Tnoindent">
    <w:name w:val="BTnoindent"/>
    <w:basedOn w:val="BT"/>
    <w:pPr>
      <w:ind w:left="0" w:firstLine="0"/>
    </w:pPr>
  </w:style>
  <w:style w:type="paragraph" w:customStyle="1" w:styleId="Leg">
    <w:name w:val="Leg"/>
    <w:autoRedefine/>
    <w:pPr>
      <w:jc w:val="right"/>
    </w:pPr>
    <w:rPr>
      <w:rFonts w:ascii="Times" w:hAnsi="Times"/>
      <w:i/>
      <w:sz w:val="16"/>
      <w:lang w:eastAsia="en-US"/>
    </w:rPr>
  </w:style>
  <w:style w:type="paragraph" w:customStyle="1" w:styleId="Para">
    <w:name w:val="Para"/>
    <w:next w:val="BT"/>
    <w:pPr>
      <w:spacing w:before="360" w:after="120"/>
      <w:ind w:left="851"/>
    </w:pPr>
    <w:rPr>
      <w:rFonts w:ascii="Helvetica" w:hAnsi="Helvetica"/>
      <w:b/>
      <w:sz w:val="24"/>
      <w:lang w:eastAsia="en-US"/>
    </w:rPr>
  </w:style>
  <w:style w:type="paragraph" w:customStyle="1" w:styleId="TOCPT">
    <w:name w:val="TOC PT"/>
    <w:basedOn w:val="Normal"/>
    <w:pPr>
      <w:tabs>
        <w:tab w:val="left" w:pos="850"/>
      </w:tabs>
      <w:spacing w:after="283"/>
      <w:ind w:left="850" w:right="283"/>
    </w:pPr>
    <w:rPr>
      <w:rFonts w:ascii="Helvetica" w:hAnsi="Helvetica"/>
      <w:b/>
      <w:sz w:val="40"/>
      <w:lang w:val="en-GB"/>
    </w:rPr>
  </w:style>
  <w:style w:type="paragraph" w:customStyle="1" w:styleId="TOCSG">
    <w:name w:val="TOC SG"/>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pPr>
      <w:tabs>
        <w:tab w:val="right" w:leader="dot" w:pos="7937"/>
      </w:tabs>
      <w:spacing w:before="170" w:after="57" w:line="340" w:lineRule="atLeast"/>
      <w:ind w:left="850"/>
    </w:pPr>
    <w:rPr>
      <w:rFonts w:ascii="Helvetica" w:hAnsi="Helvetica"/>
      <w:b/>
      <w:lang w:eastAsia="en-US"/>
    </w:rPr>
  </w:style>
  <w:style w:type="paragraph" w:customStyle="1" w:styleId="BTbold">
    <w:name w:val="BTbold"/>
    <w:basedOn w:val="BT"/>
    <w:rPr>
      <w:b/>
    </w:rPr>
  </w:style>
  <w:style w:type="paragraph" w:customStyle="1" w:styleId="btnoindent9">
    <w:name w:val="btnoindent 9"/>
    <w:basedOn w:val="BTnoindent"/>
    <w:pPr>
      <w:spacing w:before="0" w:after="0" w:line="200" w:lineRule="atLeast"/>
    </w:pPr>
    <w:rPr>
      <w:sz w:val="18"/>
    </w:rPr>
  </w:style>
  <w:style w:type="paragraph" w:customStyle="1" w:styleId="BTnoindentbold">
    <w:name w:val="BTnoindentbold"/>
    <w:basedOn w:val="BTnoindent"/>
    <w:rPr>
      <w:b/>
    </w:rPr>
  </w:style>
  <w:style w:type="paragraph" w:customStyle="1" w:styleId="Indent2">
    <w:name w:val="Indent2"/>
    <w:pPr>
      <w:numPr>
        <w:numId w:val="37"/>
      </w:numPr>
      <w:tabs>
        <w:tab w:val="clear" w:pos="1778"/>
        <w:tab w:val="left" w:pos="1758"/>
      </w:tabs>
      <w:spacing w:after="113" w:line="340" w:lineRule="atLeast"/>
    </w:pPr>
    <w:rPr>
      <w:rFonts w:ascii="Helvetica" w:hAnsi="Helvetica"/>
      <w:color w:val="000000"/>
      <w:lang w:eastAsia="en-US"/>
    </w:rPr>
  </w:style>
  <w:style w:type="character" w:styleId="Hyperlink">
    <w:name w:val="Hyperlink"/>
    <w:basedOn w:val="DefaultParagraphFont"/>
    <w:rPr>
      <w:rFonts w:cs="Times New Roman"/>
      <w:color w:val="0000FF"/>
      <w:u w:val="single"/>
    </w:rPr>
  </w:style>
  <w:style w:type="paragraph" w:customStyle="1" w:styleId="Indent10">
    <w:name w:val="Indent 1"/>
    <w:basedOn w:val="BT"/>
    <w:pPr>
      <w:tabs>
        <w:tab w:val="clear" w:pos="851"/>
        <w:tab w:val="clear" w:pos="1701"/>
      </w:tabs>
      <w:ind w:left="141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guidance\chapter6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chapter64</Template>
  <TotalTime>1</TotalTime>
  <Pages>6</Pages>
  <Words>1016</Words>
  <Characters>5574</Characters>
  <Application>Microsoft Office Word</Application>
  <DocSecurity>0</DocSecurity>
  <Lines>137</Lines>
  <Paragraphs>85</Paragraphs>
  <ScaleCrop>false</ScaleCrop>
  <HeadingPairs>
    <vt:vector size="2" baseType="variant">
      <vt:variant>
        <vt:lpstr>Title</vt:lpstr>
      </vt:variant>
      <vt:variant>
        <vt:i4>1</vt:i4>
      </vt:variant>
    </vt:vector>
  </HeadingPairs>
  <TitlesOfParts>
    <vt:vector size="1" baseType="lpstr">
      <vt:lpstr>Chapter 64</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64</dc:title>
  <dc:subject/>
  <dc:creator>1194508</dc:creator>
  <cp:keywords>Industrial Injuries Scheme</cp:keywords>
  <dc:description/>
  <cp:lastModifiedBy>Marie Bowman</cp:lastModifiedBy>
  <cp:revision>2</cp:revision>
  <cp:lastPrinted>2009-08-05T10:28:00Z</cp:lastPrinted>
  <dcterms:created xsi:type="dcterms:W3CDTF">2020-02-10T14:49:00Z</dcterms:created>
  <dcterms:modified xsi:type="dcterms:W3CDTF">2020-02-10T14:49:00Z</dcterms:modified>
</cp:coreProperties>
</file>