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8C8" w:rsidRDefault="005A48C8" w:rsidP="00D764AE">
      <w:pPr>
        <w:pStyle w:val="Head"/>
        <w:tabs>
          <w:tab w:val="left" w:pos="567"/>
          <w:tab w:val="left" w:pos="1134"/>
          <w:tab w:val="left" w:pos="6237"/>
        </w:tabs>
        <w:spacing w:after="0" w:line="240" w:lineRule="auto"/>
        <w:rPr>
          <w:rFonts w:cs="Arial"/>
          <w:color w:val="000000" w:themeColor="text1"/>
          <w:szCs w:val="28"/>
        </w:rPr>
      </w:pPr>
      <w:r w:rsidRPr="00D764AE">
        <w:rPr>
          <w:rFonts w:cs="Arial"/>
          <w:color w:val="000000" w:themeColor="text1"/>
          <w:szCs w:val="28"/>
        </w:rPr>
        <w:t xml:space="preserve">Memo ADM </w:t>
      </w:r>
      <w:r w:rsidR="00D764AE" w:rsidRPr="00D764AE">
        <w:rPr>
          <w:rFonts w:cs="Arial"/>
          <w:color w:val="000000" w:themeColor="text1"/>
          <w:szCs w:val="28"/>
        </w:rPr>
        <w:t>11/17</w:t>
      </w:r>
      <w:r w:rsidRPr="00D764AE">
        <w:rPr>
          <w:rFonts w:cs="Arial"/>
          <w:color w:val="000000" w:themeColor="text1"/>
          <w:szCs w:val="28"/>
        </w:rPr>
        <w:t xml:space="preserve"> </w:t>
      </w:r>
    </w:p>
    <w:p w:rsidR="00D764AE" w:rsidRDefault="00D764AE" w:rsidP="00D764AE">
      <w:pPr>
        <w:tabs>
          <w:tab w:val="left" w:pos="567"/>
          <w:tab w:val="left" w:pos="1134"/>
          <w:tab w:val="left" w:pos="6237"/>
        </w:tabs>
        <w:spacing w:after="0" w:line="240" w:lineRule="auto"/>
      </w:pPr>
    </w:p>
    <w:p w:rsidR="00D764AE" w:rsidRDefault="00D764AE" w:rsidP="00D764AE">
      <w:pPr>
        <w:tabs>
          <w:tab w:val="left" w:pos="567"/>
          <w:tab w:val="left" w:pos="1134"/>
          <w:tab w:val="left" w:pos="6237"/>
        </w:tabs>
        <w:spacing w:after="0" w:line="240" w:lineRule="auto"/>
      </w:pPr>
    </w:p>
    <w:p w:rsidR="00D764AE" w:rsidRPr="00D764AE" w:rsidRDefault="00D764AE" w:rsidP="00D764AE">
      <w:pPr>
        <w:tabs>
          <w:tab w:val="left" w:pos="567"/>
          <w:tab w:val="left" w:pos="1134"/>
          <w:tab w:val="left" w:pos="6237"/>
        </w:tabs>
        <w:spacing w:after="0" w:line="240" w:lineRule="auto"/>
      </w:pPr>
    </w:p>
    <w:p w:rsidR="005A48C8" w:rsidRDefault="005E3D70" w:rsidP="005E3D70">
      <w:pPr>
        <w:pStyle w:val="Title1"/>
        <w:tabs>
          <w:tab w:val="left" w:pos="567"/>
          <w:tab w:val="left" w:pos="1134"/>
          <w:tab w:val="left" w:pos="6237"/>
        </w:tabs>
        <w:spacing w:before="0" w:after="0" w:line="240" w:lineRule="auto"/>
        <w:ind w:left="567" w:hanging="567"/>
        <w:rPr>
          <w:rFonts w:cs="Arial"/>
          <w:color w:val="000000" w:themeColor="text1"/>
          <w:szCs w:val="28"/>
        </w:rPr>
      </w:pPr>
      <w:r>
        <w:rPr>
          <w:rFonts w:cs="Arial"/>
          <w:color w:val="000000" w:themeColor="text1"/>
          <w:szCs w:val="28"/>
        </w:rPr>
        <w:tab/>
      </w:r>
      <w:r w:rsidR="005A48C8" w:rsidRPr="00D764AE">
        <w:rPr>
          <w:rFonts w:cs="Arial"/>
          <w:color w:val="000000" w:themeColor="text1"/>
          <w:szCs w:val="28"/>
        </w:rPr>
        <w:t>e</w:t>
      </w:r>
      <w:r w:rsidR="00422EF9" w:rsidRPr="00D764AE">
        <w:rPr>
          <w:rFonts w:cs="Arial"/>
          <w:color w:val="000000" w:themeColor="text1"/>
          <w:szCs w:val="28"/>
        </w:rPr>
        <w:t xml:space="preserve">mployment and </w:t>
      </w:r>
      <w:r w:rsidR="005A48C8" w:rsidRPr="00D764AE">
        <w:rPr>
          <w:rFonts w:cs="Arial"/>
          <w:color w:val="000000" w:themeColor="text1"/>
          <w:szCs w:val="28"/>
        </w:rPr>
        <w:t>s</w:t>
      </w:r>
      <w:r w:rsidR="00422EF9" w:rsidRPr="00D764AE">
        <w:rPr>
          <w:rFonts w:cs="Arial"/>
          <w:color w:val="000000" w:themeColor="text1"/>
          <w:szCs w:val="28"/>
        </w:rPr>
        <w:t xml:space="preserve">upport </w:t>
      </w:r>
      <w:r w:rsidR="005A48C8" w:rsidRPr="00D764AE">
        <w:rPr>
          <w:rFonts w:cs="Arial"/>
          <w:color w:val="000000" w:themeColor="text1"/>
          <w:szCs w:val="28"/>
        </w:rPr>
        <w:t>a</w:t>
      </w:r>
      <w:r w:rsidR="00422EF9" w:rsidRPr="00D764AE">
        <w:rPr>
          <w:rFonts w:cs="Arial"/>
          <w:color w:val="000000" w:themeColor="text1"/>
          <w:szCs w:val="28"/>
        </w:rPr>
        <w:t>llowance</w:t>
      </w:r>
      <w:r w:rsidR="005A48C8" w:rsidRPr="00D764AE">
        <w:rPr>
          <w:rFonts w:cs="Arial"/>
          <w:color w:val="000000" w:themeColor="text1"/>
          <w:szCs w:val="28"/>
        </w:rPr>
        <w:t xml:space="preserve"> and u</w:t>
      </w:r>
      <w:r w:rsidR="00422EF9" w:rsidRPr="00D764AE">
        <w:rPr>
          <w:rFonts w:cs="Arial"/>
          <w:color w:val="000000" w:themeColor="text1"/>
          <w:szCs w:val="28"/>
        </w:rPr>
        <w:t xml:space="preserve">niversal </w:t>
      </w:r>
      <w:r w:rsidR="005A48C8" w:rsidRPr="00D764AE">
        <w:rPr>
          <w:rFonts w:cs="Arial"/>
          <w:color w:val="000000" w:themeColor="text1"/>
          <w:szCs w:val="28"/>
        </w:rPr>
        <w:t>c</w:t>
      </w:r>
      <w:r w:rsidR="00422EF9" w:rsidRPr="00D764AE">
        <w:rPr>
          <w:rFonts w:cs="Arial"/>
          <w:color w:val="000000" w:themeColor="text1"/>
          <w:szCs w:val="28"/>
        </w:rPr>
        <w:t>redit</w:t>
      </w:r>
      <w:r w:rsidR="005A48C8" w:rsidRPr="00D764AE">
        <w:rPr>
          <w:rFonts w:cs="Arial"/>
          <w:color w:val="000000" w:themeColor="text1"/>
          <w:szCs w:val="28"/>
        </w:rPr>
        <w:t xml:space="preserve">: response to the </w:t>
      </w:r>
      <w:r w:rsidR="00422EF9" w:rsidRPr="00D764AE">
        <w:rPr>
          <w:rFonts w:cs="Arial"/>
          <w:color w:val="000000" w:themeColor="text1"/>
          <w:szCs w:val="28"/>
        </w:rPr>
        <w:t>Appeal</w:t>
      </w:r>
      <w:r w:rsidR="005A48C8" w:rsidRPr="00D764AE">
        <w:rPr>
          <w:rFonts w:cs="Arial"/>
          <w:color w:val="000000" w:themeColor="text1"/>
          <w:szCs w:val="28"/>
        </w:rPr>
        <w:t xml:space="preserve"> tribunal</w:t>
      </w:r>
    </w:p>
    <w:p w:rsidR="00D764AE" w:rsidRDefault="00D764AE" w:rsidP="00D764AE">
      <w:pPr>
        <w:tabs>
          <w:tab w:val="left" w:pos="567"/>
          <w:tab w:val="left" w:pos="1134"/>
          <w:tab w:val="left" w:pos="6237"/>
        </w:tabs>
        <w:spacing w:after="0" w:line="240" w:lineRule="auto"/>
      </w:pPr>
    </w:p>
    <w:p w:rsidR="00D764AE" w:rsidRDefault="00D764AE" w:rsidP="00D764AE">
      <w:pPr>
        <w:tabs>
          <w:tab w:val="left" w:pos="567"/>
          <w:tab w:val="left" w:pos="1134"/>
          <w:tab w:val="left" w:pos="6237"/>
        </w:tabs>
        <w:spacing w:after="0" w:line="240" w:lineRule="auto"/>
      </w:pPr>
    </w:p>
    <w:p w:rsidR="00D764AE" w:rsidRPr="00D764AE" w:rsidRDefault="00DE58D4" w:rsidP="00D764AE">
      <w:pPr>
        <w:tabs>
          <w:tab w:val="left" w:pos="567"/>
          <w:tab w:val="left" w:pos="1134"/>
          <w:tab w:val="left" w:pos="6237"/>
        </w:tabs>
        <w:spacing w:after="0" w:line="240" w:lineRule="auto"/>
        <w:rPr>
          <w:b/>
          <w:sz w:val="24"/>
        </w:rPr>
      </w:pPr>
      <w:r>
        <w:rPr>
          <w:b/>
          <w:sz w:val="24"/>
        </w:rPr>
        <w:tab/>
      </w:r>
      <w:r w:rsidR="00D764AE" w:rsidRPr="00D764AE">
        <w:rPr>
          <w:b/>
          <w:sz w:val="24"/>
        </w:rPr>
        <w:t>Contents</w:t>
      </w:r>
      <w:r w:rsidR="00D764AE" w:rsidRPr="00D764AE">
        <w:rPr>
          <w:b/>
          <w:sz w:val="24"/>
        </w:rPr>
        <w:tab/>
      </w:r>
      <w:r w:rsidR="00D764AE" w:rsidRPr="00D764AE">
        <w:rPr>
          <w:sz w:val="24"/>
        </w:rPr>
        <w:tab/>
      </w:r>
      <w:r w:rsidR="00D764AE" w:rsidRPr="00D764AE">
        <w:rPr>
          <w:b/>
          <w:sz w:val="24"/>
        </w:rPr>
        <w:t>Paragraphs</w:t>
      </w:r>
    </w:p>
    <w:p w:rsidR="00D764AE" w:rsidRPr="00D764AE" w:rsidRDefault="00D764AE" w:rsidP="00D764AE">
      <w:pPr>
        <w:tabs>
          <w:tab w:val="left" w:pos="567"/>
          <w:tab w:val="left" w:pos="1134"/>
          <w:tab w:val="left" w:pos="6237"/>
        </w:tabs>
        <w:spacing w:after="0" w:line="240" w:lineRule="auto"/>
        <w:rPr>
          <w:sz w:val="24"/>
        </w:rPr>
      </w:pPr>
    </w:p>
    <w:p w:rsidR="00D764AE" w:rsidRPr="00D764AE" w:rsidRDefault="00DE58D4" w:rsidP="00D764AE">
      <w:pPr>
        <w:tabs>
          <w:tab w:val="left" w:pos="567"/>
          <w:tab w:val="left" w:pos="1134"/>
          <w:tab w:val="left" w:pos="6237"/>
        </w:tabs>
        <w:spacing w:after="0" w:line="240" w:lineRule="auto"/>
        <w:rPr>
          <w:sz w:val="24"/>
        </w:rPr>
      </w:pPr>
      <w:r>
        <w:rPr>
          <w:sz w:val="24"/>
        </w:rPr>
        <w:tab/>
      </w:r>
      <w:r w:rsidR="00D764AE" w:rsidRPr="00D764AE">
        <w:rPr>
          <w:sz w:val="24"/>
        </w:rPr>
        <w:t>Introduction &amp; Background</w:t>
      </w:r>
      <w:r w:rsidR="00D764AE" w:rsidRPr="00D764AE">
        <w:rPr>
          <w:sz w:val="24"/>
        </w:rPr>
        <w:tab/>
        <w:t>1 – 4</w:t>
      </w:r>
    </w:p>
    <w:p w:rsidR="00D764AE" w:rsidRPr="00D764AE" w:rsidRDefault="00D764AE" w:rsidP="00D764AE">
      <w:pPr>
        <w:tabs>
          <w:tab w:val="left" w:pos="567"/>
          <w:tab w:val="left" w:pos="1134"/>
          <w:tab w:val="left" w:pos="6237"/>
        </w:tabs>
        <w:spacing w:after="0" w:line="240" w:lineRule="auto"/>
        <w:rPr>
          <w:sz w:val="24"/>
        </w:rPr>
      </w:pPr>
    </w:p>
    <w:p w:rsidR="00D764AE" w:rsidRPr="00D764AE" w:rsidRDefault="00DE58D4" w:rsidP="00D764AE">
      <w:pPr>
        <w:tabs>
          <w:tab w:val="left" w:pos="567"/>
          <w:tab w:val="left" w:pos="1134"/>
          <w:tab w:val="left" w:pos="6237"/>
        </w:tabs>
        <w:spacing w:after="0" w:line="240" w:lineRule="auto"/>
        <w:rPr>
          <w:sz w:val="24"/>
        </w:rPr>
      </w:pPr>
      <w:r>
        <w:rPr>
          <w:sz w:val="24"/>
        </w:rPr>
        <w:tab/>
      </w:r>
      <w:r w:rsidR="00D764AE" w:rsidRPr="00D764AE">
        <w:rPr>
          <w:sz w:val="24"/>
        </w:rPr>
        <w:t>The Department’s responsibilities</w:t>
      </w:r>
      <w:r w:rsidR="00D764AE" w:rsidRPr="00D764AE">
        <w:rPr>
          <w:sz w:val="24"/>
        </w:rPr>
        <w:tab/>
        <w:t>5 – 11</w:t>
      </w:r>
    </w:p>
    <w:p w:rsidR="00D764AE" w:rsidRPr="00D764AE" w:rsidRDefault="00D764AE" w:rsidP="00D764AE">
      <w:pPr>
        <w:tabs>
          <w:tab w:val="left" w:pos="567"/>
          <w:tab w:val="left" w:pos="1134"/>
          <w:tab w:val="left" w:pos="6237"/>
        </w:tabs>
        <w:spacing w:after="0" w:line="240" w:lineRule="auto"/>
        <w:rPr>
          <w:sz w:val="24"/>
        </w:rPr>
      </w:pPr>
    </w:p>
    <w:p w:rsidR="00D764AE" w:rsidRPr="00D764AE" w:rsidRDefault="00DE58D4" w:rsidP="00D764AE">
      <w:pPr>
        <w:tabs>
          <w:tab w:val="left" w:pos="567"/>
          <w:tab w:val="left" w:pos="1134"/>
          <w:tab w:val="left" w:pos="6237"/>
        </w:tabs>
        <w:spacing w:after="0" w:line="240" w:lineRule="auto"/>
        <w:rPr>
          <w:sz w:val="24"/>
        </w:rPr>
      </w:pPr>
      <w:r>
        <w:rPr>
          <w:sz w:val="24"/>
        </w:rPr>
        <w:tab/>
      </w:r>
      <w:r w:rsidR="00D764AE" w:rsidRPr="00D764AE">
        <w:rPr>
          <w:sz w:val="24"/>
        </w:rPr>
        <w:t>The Appeal Tribunal’s duty</w:t>
      </w:r>
      <w:r w:rsidR="00D764AE" w:rsidRPr="00D764AE">
        <w:rPr>
          <w:sz w:val="24"/>
        </w:rPr>
        <w:tab/>
        <w:t>12</w:t>
      </w:r>
    </w:p>
    <w:p w:rsidR="00D764AE" w:rsidRPr="00D764AE" w:rsidRDefault="00D764AE" w:rsidP="00D764AE">
      <w:pPr>
        <w:tabs>
          <w:tab w:val="left" w:pos="567"/>
          <w:tab w:val="left" w:pos="1134"/>
          <w:tab w:val="left" w:pos="6237"/>
        </w:tabs>
        <w:spacing w:after="0" w:line="240" w:lineRule="auto"/>
        <w:rPr>
          <w:sz w:val="24"/>
        </w:rPr>
      </w:pPr>
    </w:p>
    <w:p w:rsidR="00D764AE" w:rsidRPr="00D764AE" w:rsidRDefault="00DE58D4" w:rsidP="00D764AE">
      <w:pPr>
        <w:tabs>
          <w:tab w:val="left" w:pos="567"/>
          <w:tab w:val="left" w:pos="1134"/>
          <w:tab w:val="left" w:pos="6237"/>
        </w:tabs>
        <w:spacing w:after="0" w:line="240" w:lineRule="auto"/>
        <w:rPr>
          <w:sz w:val="24"/>
        </w:rPr>
      </w:pPr>
      <w:r>
        <w:rPr>
          <w:sz w:val="24"/>
        </w:rPr>
        <w:tab/>
      </w:r>
      <w:r w:rsidR="00D764AE" w:rsidRPr="00D764AE">
        <w:rPr>
          <w:sz w:val="24"/>
        </w:rPr>
        <w:t>Annotations</w:t>
      </w:r>
    </w:p>
    <w:p w:rsidR="00D764AE" w:rsidRPr="00D764AE" w:rsidRDefault="00D764AE" w:rsidP="00D764AE">
      <w:pPr>
        <w:tabs>
          <w:tab w:val="left" w:pos="567"/>
          <w:tab w:val="left" w:pos="1134"/>
          <w:tab w:val="left" w:pos="6237"/>
        </w:tabs>
        <w:spacing w:after="0" w:line="240" w:lineRule="auto"/>
        <w:rPr>
          <w:sz w:val="24"/>
        </w:rPr>
      </w:pPr>
    </w:p>
    <w:p w:rsidR="00D764AE" w:rsidRDefault="00DE58D4" w:rsidP="00D764AE">
      <w:pPr>
        <w:tabs>
          <w:tab w:val="left" w:pos="567"/>
          <w:tab w:val="left" w:pos="1134"/>
          <w:tab w:val="left" w:pos="6237"/>
        </w:tabs>
        <w:spacing w:after="0" w:line="240" w:lineRule="auto"/>
        <w:rPr>
          <w:sz w:val="24"/>
        </w:rPr>
      </w:pPr>
      <w:r>
        <w:rPr>
          <w:sz w:val="24"/>
        </w:rPr>
        <w:tab/>
      </w:r>
      <w:r w:rsidR="00D764AE" w:rsidRPr="00D764AE">
        <w:rPr>
          <w:sz w:val="24"/>
        </w:rPr>
        <w:t>Contacts</w:t>
      </w:r>
    </w:p>
    <w:p w:rsidR="00D764AE" w:rsidRDefault="00D764AE" w:rsidP="00D764AE">
      <w:pPr>
        <w:tabs>
          <w:tab w:val="left" w:pos="567"/>
          <w:tab w:val="left" w:pos="1134"/>
          <w:tab w:val="left" w:pos="6237"/>
        </w:tabs>
        <w:spacing w:after="0" w:line="240" w:lineRule="auto"/>
        <w:rPr>
          <w:sz w:val="24"/>
        </w:rPr>
      </w:pPr>
    </w:p>
    <w:p w:rsidR="00DE58D4" w:rsidRPr="00D764AE" w:rsidRDefault="00DE58D4" w:rsidP="00D764AE">
      <w:pPr>
        <w:tabs>
          <w:tab w:val="left" w:pos="567"/>
          <w:tab w:val="left" w:pos="1134"/>
          <w:tab w:val="left" w:pos="6237"/>
        </w:tabs>
        <w:spacing w:after="0" w:line="240" w:lineRule="auto"/>
        <w:rPr>
          <w:sz w:val="24"/>
        </w:rPr>
      </w:pPr>
    </w:p>
    <w:p w:rsidR="005A48C8" w:rsidRDefault="00DE58D4" w:rsidP="00D764AE">
      <w:pPr>
        <w:pStyle w:val="Topic"/>
        <w:tabs>
          <w:tab w:val="left" w:pos="567"/>
          <w:tab w:val="left" w:pos="1134"/>
          <w:tab w:val="left" w:pos="6237"/>
        </w:tabs>
        <w:spacing w:before="0" w:after="0" w:line="240" w:lineRule="auto"/>
        <w:rPr>
          <w:rFonts w:cs="Arial"/>
          <w:color w:val="000000" w:themeColor="text1"/>
          <w:szCs w:val="24"/>
        </w:rPr>
      </w:pPr>
      <w:r>
        <w:rPr>
          <w:rFonts w:cs="Arial"/>
          <w:color w:val="000000" w:themeColor="text1"/>
          <w:szCs w:val="24"/>
        </w:rPr>
        <w:tab/>
      </w:r>
      <w:r w:rsidR="005A48C8" w:rsidRPr="00D764AE">
        <w:rPr>
          <w:rFonts w:cs="Arial"/>
          <w:color w:val="000000" w:themeColor="text1"/>
          <w:szCs w:val="24"/>
        </w:rPr>
        <w:t>introduction and background</w:t>
      </w:r>
    </w:p>
    <w:p w:rsidR="00DE58D4" w:rsidRPr="00DE58D4" w:rsidRDefault="00DE58D4" w:rsidP="00DE58D4">
      <w:pPr>
        <w:pStyle w:val="MainNums"/>
        <w:numPr>
          <w:ilvl w:val="0"/>
          <w:numId w:val="0"/>
        </w:numPr>
        <w:spacing w:before="0" w:after="0"/>
      </w:pPr>
    </w:p>
    <w:p w:rsidR="005A48C8" w:rsidRDefault="00DE58D4" w:rsidP="00DE58D4">
      <w:pPr>
        <w:pStyle w:val="MainNums"/>
        <w:numPr>
          <w:ilvl w:val="0"/>
          <w:numId w:val="0"/>
        </w:numPr>
        <w:tabs>
          <w:tab w:val="left" w:pos="0"/>
          <w:tab w:val="left" w:pos="567"/>
          <w:tab w:val="left" w:pos="1134"/>
          <w:tab w:val="left" w:pos="6237"/>
        </w:tabs>
        <w:spacing w:before="0" w:after="0" w:line="240" w:lineRule="auto"/>
        <w:ind w:left="567" w:hanging="567"/>
        <w:rPr>
          <w:rFonts w:cs="Arial"/>
          <w:color w:val="000000" w:themeColor="text1"/>
          <w:sz w:val="24"/>
          <w:szCs w:val="24"/>
        </w:rPr>
      </w:pPr>
      <w:r>
        <w:rPr>
          <w:rFonts w:cs="Arial"/>
          <w:color w:val="000000" w:themeColor="text1"/>
          <w:sz w:val="24"/>
          <w:szCs w:val="24"/>
        </w:rPr>
        <w:t>1</w:t>
      </w:r>
      <w:r>
        <w:rPr>
          <w:rFonts w:cs="Arial"/>
          <w:color w:val="000000" w:themeColor="text1"/>
          <w:sz w:val="24"/>
          <w:szCs w:val="24"/>
        </w:rPr>
        <w:tab/>
      </w:r>
      <w:r w:rsidR="005A48C8" w:rsidRPr="00D764AE">
        <w:rPr>
          <w:rFonts w:cs="Arial"/>
          <w:color w:val="000000" w:themeColor="text1"/>
          <w:sz w:val="24"/>
          <w:szCs w:val="24"/>
        </w:rPr>
        <w:t xml:space="preserve">This memo provides guidance on the </w:t>
      </w:r>
      <w:r w:rsidR="00422EF9" w:rsidRPr="00D764AE">
        <w:rPr>
          <w:rFonts w:cs="Arial"/>
          <w:color w:val="000000" w:themeColor="text1"/>
          <w:sz w:val="24"/>
          <w:szCs w:val="24"/>
        </w:rPr>
        <w:t>Department</w:t>
      </w:r>
      <w:r w:rsidR="005A48C8" w:rsidRPr="00D764AE">
        <w:rPr>
          <w:rFonts w:cs="Arial"/>
          <w:color w:val="000000" w:themeColor="text1"/>
          <w:sz w:val="24"/>
          <w:szCs w:val="24"/>
        </w:rPr>
        <w:t xml:space="preserve">’s responsibilities in preparing a response to the </w:t>
      </w:r>
      <w:r w:rsidR="00422EF9" w:rsidRPr="00D764AE">
        <w:rPr>
          <w:rFonts w:cs="Arial"/>
          <w:color w:val="000000" w:themeColor="text1"/>
          <w:sz w:val="24"/>
          <w:szCs w:val="24"/>
        </w:rPr>
        <w:t xml:space="preserve">Appeal </w:t>
      </w:r>
      <w:r w:rsidR="00CD4DB8" w:rsidRPr="00D764AE">
        <w:rPr>
          <w:rFonts w:cs="Arial"/>
          <w:color w:val="000000" w:themeColor="text1"/>
          <w:sz w:val="24"/>
          <w:szCs w:val="24"/>
        </w:rPr>
        <w:t>T</w:t>
      </w:r>
      <w:r w:rsidR="00422EF9" w:rsidRPr="00D764AE">
        <w:rPr>
          <w:rFonts w:cs="Arial"/>
          <w:color w:val="000000" w:themeColor="text1"/>
          <w:sz w:val="24"/>
          <w:szCs w:val="24"/>
        </w:rPr>
        <w:t>ribunal</w:t>
      </w:r>
      <w:r w:rsidR="005A48C8" w:rsidRPr="00D764AE">
        <w:rPr>
          <w:rFonts w:cs="Arial"/>
          <w:color w:val="000000" w:themeColor="text1"/>
          <w:sz w:val="24"/>
          <w:szCs w:val="24"/>
        </w:rPr>
        <w:t xml:space="preserve"> where an award of </w:t>
      </w:r>
      <w:r w:rsidR="00074A23" w:rsidRPr="00D764AE">
        <w:rPr>
          <w:rFonts w:cs="Arial"/>
          <w:color w:val="000000" w:themeColor="text1"/>
          <w:sz w:val="24"/>
          <w:szCs w:val="24"/>
        </w:rPr>
        <w:t>E</w:t>
      </w:r>
      <w:r w:rsidR="00422EF9" w:rsidRPr="00D764AE">
        <w:rPr>
          <w:rFonts w:cs="Arial"/>
          <w:color w:val="000000" w:themeColor="text1"/>
          <w:sz w:val="24"/>
          <w:szCs w:val="24"/>
        </w:rPr>
        <w:t xml:space="preserve">mployment and </w:t>
      </w:r>
      <w:r w:rsidR="00074A23" w:rsidRPr="00D764AE">
        <w:rPr>
          <w:rFonts w:cs="Arial"/>
          <w:color w:val="000000" w:themeColor="text1"/>
          <w:sz w:val="24"/>
          <w:szCs w:val="24"/>
        </w:rPr>
        <w:t>S</w:t>
      </w:r>
      <w:r w:rsidR="00422EF9" w:rsidRPr="00D764AE">
        <w:rPr>
          <w:rFonts w:cs="Arial"/>
          <w:color w:val="000000" w:themeColor="text1"/>
          <w:sz w:val="24"/>
          <w:szCs w:val="24"/>
        </w:rPr>
        <w:t xml:space="preserve">upport </w:t>
      </w:r>
      <w:r w:rsidR="00074A23" w:rsidRPr="00D764AE">
        <w:rPr>
          <w:rFonts w:cs="Arial"/>
          <w:color w:val="000000" w:themeColor="text1"/>
          <w:sz w:val="24"/>
          <w:szCs w:val="24"/>
        </w:rPr>
        <w:t>A</w:t>
      </w:r>
      <w:r w:rsidR="00422EF9" w:rsidRPr="00D764AE">
        <w:rPr>
          <w:rFonts w:cs="Arial"/>
          <w:color w:val="000000" w:themeColor="text1"/>
          <w:sz w:val="24"/>
          <w:szCs w:val="24"/>
        </w:rPr>
        <w:t>llowance</w:t>
      </w:r>
      <w:r w:rsidR="005A48C8" w:rsidRPr="00D764AE">
        <w:rPr>
          <w:rFonts w:cs="Arial"/>
          <w:color w:val="000000" w:themeColor="text1"/>
          <w:sz w:val="24"/>
          <w:szCs w:val="24"/>
        </w:rPr>
        <w:t xml:space="preserve"> or </w:t>
      </w:r>
      <w:r w:rsidR="00074A23" w:rsidRPr="00D764AE">
        <w:rPr>
          <w:rFonts w:cs="Arial"/>
          <w:color w:val="000000" w:themeColor="text1"/>
          <w:sz w:val="24"/>
          <w:szCs w:val="24"/>
        </w:rPr>
        <w:t>U</w:t>
      </w:r>
      <w:r w:rsidR="00422EF9" w:rsidRPr="00D764AE">
        <w:rPr>
          <w:rFonts w:cs="Arial"/>
          <w:color w:val="000000" w:themeColor="text1"/>
          <w:sz w:val="24"/>
          <w:szCs w:val="24"/>
        </w:rPr>
        <w:t xml:space="preserve">niversal </w:t>
      </w:r>
      <w:r w:rsidR="00074A23" w:rsidRPr="00D764AE">
        <w:rPr>
          <w:rFonts w:cs="Arial"/>
          <w:color w:val="000000" w:themeColor="text1"/>
          <w:sz w:val="24"/>
          <w:szCs w:val="24"/>
        </w:rPr>
        <w:t>C</w:t>
      </w:r>
      <w:r w:rsidR="00422EF9" w:rsidRPr="00D764AE">
        <w:rPr>
          <w:rFonts w:cs="Arial"/>
          <w:color w:val="000000" w:themeColor="text1"/>
          <w:sz w:val="24"/>
          <w:szCs w:val="24"/>
        </w:rPr>
        <w:t>redit</w:t>
      </w:r>
      <w:r w:rsidR="005A48C8" w:rsidRPr="00D764AE">
        <w:rPr>
          <w:rFonts w:cs="Arial"/>
          <w:color w:val="000000" w:themeColor="text1"/>
          <w:sz w:val="24"/>
          <w:szCs w:val="24"/>
        </w:rPr>
        <w:t xml:space="preserve"> has been superseded following a second or subsequent </w:t>
      </w:r>
      <w:r w:rsidR="00422EF9" w:rsidRPr="00D764AE">
        <w:rPr>
          <w:rFonts w:cs="Arial"/>
          <w:color w:val="000000" w:themeColor="text1"/>
          <w:sz w:val="24"/>
          <w:szCs w:val="24"/>
        </w:rPr>
        <w:t>Work Capability Assessment</w:t>
      </w:r>
      <w:r w:rsidR="005A48C8" w:rsidRPr="00D764AE">
        <w:rPr>
          <w:rFonts w:cs="Arial"/>
          <w:color w:val="000000" w:themeColor="text1"/>
          <w:sz w:val="24"/>
          <w:szCs w:val="24"/>
        </w:rPr>
        <w:t>.</w:t>
      </w:r>
    </w:p>
    <w:p w:rsidR="00D764AE" w:rsidRPr="00D764AE" w:rsidRDefault="00D764AE" w:rsidP="00D764AE">
      <w:pPr>
        <w:pStyle w:val="MainNums"/>
        <w:numPr>
          <w:ilvl w:val="0"/>
          <w:numId w:val="0"/>
        </w:numPr>
        <w:tabs>
          <w:tab w:val="left" w:pos="567"/>
          <w:tab w:val="left" w:pos="1134"/>
          <w:tab w:val="left" w:pos="6237"/>
        </w:tabs>
        <w:spacing w:before="0" w:after="0" w:line="240" w:lineRule="auto"/>
        <w:rPr>
          <w:rFonts w:cs="Arial"/>
          <w:color w:val="000000" w:themeColor="text1"/>
          <w:sz w:val="24"/>
          <w:szCs w:val="24"/>
        </w:rPr>
      </w:pPr>
    </w:p>
    <w:p w:rsidR="005A48C8" w:rsidRPr="00D764AE" w:rsidRDefault="00DE58D4" w:rsidP="00DE58D4">
      <w:pPr>
        <w:pStyle w:val="MainNums"/>
        <w:numPr>
          <w:ilvl w:val="0"/>
          <w:numId w:val="0"/>
        </w:numPr>
        <w:tabs>
          <w:tab w:val="left" w:pos="567"/>
          <w:tab w:val="left" w:pos="1134"/>
          <w:tab w:val="left" w:pos="6237"/>
        </w:tabs>
        <w:spacing w:before="0" w:after="0" w:line="240" w:lineRule="auto"/>
        <w:ind w:left="567" w:hanging="567"/>
        <w:rPr>
          <w:rFonts w:cs="Arial"/>
          <w:color w:val="000000" w:themeColor="text1"/>
          <w:sz w:val="24"/>
          <w:szCs w:val="24"/>
          <w:u w:val="single"/>
        </w:rPr>
      </w:pPr>
      <w:r>
        <w:rPr>
          <w:rFonts w:cs="Arial"/>
          <w:color w:val="000000" w:themeColor="text1"/>
          <w:sz w:val="24"/>
          <w:szCs w:val="24"/>
        </w:rPr>
        <w:t>2</w:t>
      </w:r>
      <w:r>
        <w:rPr>
          <w:rFonts w:cs="Arial"/>
          <w:color w:val="000000" w:themeColor="text1"/>
          <w:sz w:val="24"/>
          <w:szCs w:val="24"/>
        </w:rPr>
        <w:tab/>
      </w:r>
      <w:r w:rsidR="005A48C8" w:rsidRPr="00D764AE">
        <w:rPr>
          <w:rFonts w:cs="Arial"/>
          <w:color w:val="000000" w:themeColor="text1"/>
          <w:sz w:val="24"/>
          <w:szCs w:val="24"/>
        </w:rPr>
        <w:t xml:space="preserve">This guidance is issued as a result of a decision of a three Judge panel of the </w:t>
      </w:r>
      <w:r w:rsidR="00CD4DB8" w:rsidRPr="00D764AE">
        <w:rPr>
          <w:rFonts w:cs="Arial"/>
          <w:color w:val="000000" w:themeColor="text1"/>
          <w:sz w:val="24"/>
          <w:szCs w:val="24"/>
        </w:rPr>
        <w:t xml:space="preserve">Great Britain </w:t>
      </w:r>
      <w:r w:rsidR="005A48C8" w:rsidRPr="00D764AE">
        <w:rPr>
          <w:rFonts w:cs="Arial"/>
          <w:color w:val="000000" w:themeColor="text1"/>
          <w:sz w:val="24"/>
          <w:szCs w:val="24"/>
        </w:rPr>
        <w:t>U</w:t>
      </w:r>
      <w:r w:rsidR="00CD4DB8" w:rsidRPr="00D764AE">
        <w:rPr>
          <w:rFonts w:cs="Arial"/>
          <w:color w:val="000000" w:themeColor="text1"/>
          <w:sz w:val="24"/>
          <w:szCs w:val="24"/>
        </w:rPr>
        <w:t xml:space="preserve">pper </w:t>
      </w:r>
      <w:r w:rsidR="005A48C8" w:rsidRPr="00D764AE">
        <w:rPr>
          <w:rFonts w:cs="Arial"/>
          <w:color w:val="000000" w:themeColor="text1"/>
          <w:sz w:val="24"/>
          <w:szCs w:val="24"/>
        </w:rPr>
        <w:t>T</w:t>
      </w:r>
      <w:r w:rsidR="00CD4DB8" w:rsidRPr="00D764AE">
        <w:rPr>
          <w:rFonts w:cs="Arial"/>
          <w:color w:val="000000" w:themeColor="text1"/>
          <w:sz w:val="24"/>
          <w:szCs w:val="24"/>
        </w:rPr>
        <w:t>ribunal</w:t>
      </w:r>
      <w:r w:rsidR="00CC2F51" w:rsidRPr="00D764AE">
        <w:rPr>
          <w:rFonts w:cs="Arial"/>
          <w:color w:val="000000" w:themeColor="text1"/>
          <w:sz w:val="24"/>
          <w:szCs w:val="24"/>
        </w:rPr>
        <w:t xml:space="preserve"> (equivalent to a Tribunal of Commissioners in Northern Ireland)</w:t>
      </w:r>
      <w:r w:rsidR="005A48C8" w:rsidRPr="00D764AE">
        <w:rPr>
          <w:rFonts w:cs="Arial"/>
          <w:color w:val="000000" w:themeColor="text1"/>
          <w:sz w:val="24"/>
          <w:szCs w:val="24"/>
        </w:rPr>
        <w:t xml:space="preserve">. </w:t>
      </w:r>
    </w:p>
    <w:p w:rsidR="00D764AE" w:rsidRPr="00D764AE" w:rsidRDefault="00D764AE" w:rsidP="00D764AE">
      <w:pPr>
        <w:pStyle w:val="MainNums"/>
        <w:numPr>
          <w:ilvl w:val="0"/>
          <w:numId w:val="0"/>
        </w:numPr>
        <w:tabs>
          <w:tab w:val="left" w:pos="567"/>
          <w:tab w:val="left" w:pos="1134"/>
          <w:tab w:val="left" w:pos="6237"/>
        </w:tabs>
        <w:spacing w:before="0" w:after="0" w:line="240" w:lineRule="auto"/>
        <w:rPr>
          <w:rFonts w:cs="Arial"/>
          <w:color w:val="000000" w:themeColor="text1"/>
          <w:sz w:val="24"/>
          <w:szCs w:val="24"/>
          <w:u w:val="single"/>
        </w:rPr>
      </w:pPr>
    </w:p>
    <w:p w:rsidR="005A48C8" w:rsidRDefault="005A48C8" w:rsidP="00D764AE">
      <w:pPr>
        <w:pStyle w:val="Legal"/>
        <w:tabs>
          <w:tab w:val="left" w:pos="567"/>
          <w:tab w:val="left" w:pos="1134"/>
          <w:tab w:val="left" w:pos="6237"/>
        </w:tabs>
        <w:spacing w:after="0" w:line="240" w:lineRule="auto"/>
        <w:rPr>
          <w:rFonts w:ascii="Arial" w:hAnsi="Arial" w:cs="Arial"/>
          <w:color w:val="000000" w:themeColor="text1"/>
          <w:szCs w:val="16"/>
        </w:rPr>
      </w:pPr>
      <w:r w:rsidRPr="00D764AE">
        <w:rPr>
          <w:rFonts w:ascii="Arial" w:hAnsi="Arial" w:cs="Arial"/>
          <w:color w:val="000000" w:themeColor="text1"/>
          <w:szCs w:val="16"/>
        </w:rPr>
        <w:t>1 [2016] AACR 24 (FN v SSWP (ESA) [2015] UKUT 670 (AAC)</w:t>
      </w:r>
    </w:p>
    <w:p w:rsidR="00D764AE" w:rsidRPr="00D764AE" w:rsidRDefault="00D764AE" w:rsidP="00D764AE">
      <w:pPr>
        <w:spacing w:after="0" w:line="240" w:lineRule="auto"/>
      </w:pPr>
    </w:p>
    <w:p w:rsidR="005A48C8" w:rsidRDefault="00DE58D4" w:rsidP="00DE58D4">
      <w:pPr>
        <w:pStyle w:val="MainNums"/>
        <w:numPr>
          <w:ilvl w:val="0"/>
          <w:numId w:val="0"/>
        </w:numPr>
        <w:tabs>
          <w:tab w:val="left" w:pos="567"/>
          <w:tab w:val="left" w:pos="1134"/>
          <w:tab w:val="left" w:pos="6237"/>
        </w:tabs>
        <w:spacing w:before="0" w:after="0" w:line="240" w:lineRule="auto"/>
        <w:ind w:left="567" w:hanging="567"/>
        <w:rPr>
          <w:rFonts w:cs="Arial"/>
          <w:color w:val="000000" w:themeColor="text1"/>
          <w:sz w:val="24"/>
          <w:szCs w:val="24"/>
        </w:rPr>
      </w:pPr>
      <w:r>
        <w:rPr>
          <w:rFonts w:cs="Arial"/>
          <w:color w:val="000000" w:themeColor="text1"/>
          <w:sz w:val="24"/>
          <w:szCs w:val="24"/>
        </w:rPr>
        <w:t>3</w:t>
      </w:r>
      <w:r>
        <w:rPr>
          <w:rFonts w:cs="Arial"/>
          <w:color w:val="000000" w:themeColor="text1"/>
          <w:sz w:val="24"/>
          <w:szCs w:val="24"/>
        </w:rPr>
        <w:tab/>
      </w:r>
      <w:r w:rsidR="005A48C8" w:rsidRPr="00D764AE">
        <w:rPr>
          <w:rFonts w:cs="Arial"/>
          <w:color w:val="000000" w:themeColor="text1"/>
          <w:sz w:val="24"/>
          <w:szCs w:val="24"/>
        </w:rPr>
        <w:t xml:space="preserve">In reaching its decision the </w:t>
      </w:r>
      <w:r w:rsidR="00CD4DB8" w:rsidRPr="00D764AE">
        <w:rPr>
          <w:rFonts w:cs="Arial"/>
          <w:color w:val="000000" w:themeColor="text1"/>
          <w:sz w:val="24"/>
          <w:szCs w:val="24"/>
        </w:rPr>
        <w:t>Upper Tribunal</w:t>
      </w:r>
      <w:r w:rsidR="005A48C8" w:rsidRPr="00D764AE">
        <w:rPr>
          <w:rFonts w:cs="Arial"/>
          <w:color w:val="000000" w:themeColor="text1"/>
          <w:sz w:val="24"/>
          <w:szCs w:val="24"/>
        </w:rPr>
        <w:t xml:space="preserve"> considered a number of previous </w:t>
      </w:r>
      <w:r w:rsidR="00CD4DB8" w:rsidRPr="00D764AE">
        <w:rPr>
          <w:rFonts w:cs="Arial"/>
          <w:color w:val="000000" w:themeColor="text1"/>
          <w:sz w:val="24"/>
          <w:szCs w:val="24"/>
        </w:rPr>
        <w:t>Upper Tribunal</w:t>
      </w:r>
      <w:r w:rsidR="005A48C8" w:rsidRPr="00D764AE">
        <w:rPr>
          <w:rFonts w:cs="Arial"/>
          <w:color w:val="000000" w:themeColor="text1"/>
          <w:sz w:val="24"/>
          <w:szCs w:val="24"/>
        </w:rPr>
        <w:t xml:space="preserve"> decisions </w:t>
      </w:r>
      <w:r w:rsidR="00CD4DB8" w:rsidRPr="00D764AE">
        <w:rPr>
          <w:rFonts w:cs="Arial"/>
          <w:color w:val="000000" w:themeColor="text1"/>
          <w:sz w:val="24"/>
          <w:szCs w:val="24"/>
        </w:rPr>
        <w:t xml:space="preserve">and a Northern Ireland Commissioner’s decision </w:t>
      </w:r>
      <w:r w:rsidR="005A48C8" w:rsidRPr="00D764AE">
        <w:rPr>
          <w:rFonts w:cs="Arial"/>
          <w:color w:val="000000" w:themeColor="text1"/>
          <w:sz w:val="24"/>
          <w:szCs w:val="24"/>
        </w:rPr>
        <w:t>that have been made in this area of law</w:t>
      </w:r>
      <w:r w:rsidR="005A48C8" w:rsidRPr="00D764AE">
        <w:rPr>
          <w:rFonts w:cs="Arial"/>
          <w:color w:val="000000" w:themeColor="text1"/>
          <w:sz w:val="24"/>
          <w:szCs w:val="24"/>
          <w:vertAlign w:val="superscript"/>
        </w:rPr>
        <w:t>1</w:t>
      </w:r>
      <w:r w:rsidR="005A48C8" w:rsidRPr="00D764AE">
        <w:rPr>
          <w:rFonts w:cs="Arial"/>
          <w:color w:val="000000" w:themeColor="text1"/>
          <w:sz w:val="24"/>
          <w:szCs w:val="24"/>
        </w:rPr>
        <w:t>.</w:t>
      </w:r>
    </w:p>
    <w:p w:rsidR="00D764AE" w:rsidRPr="00D764AE" w:rsidRDefault="00D764AE" w:rsidP="00D764AE">
      <w:pPr>
        <w:pStyle w:val="MainNums"/>
        <w:numPr>
          <w:ilvl w:val="0"/>
          <w:numId w:val="0"/>
        </w:numPr>
        <w:tabs>
          <w:tab w:val="left" w:pos="567"/>
          <w:tab w:val="left" w:pos="1134"/>
          <w:tab w:val="left" w:pos="6237"/>
        </w:tabs>
        <w:spacing w:before="0" w:after="0" w:line="240" w:lineRule="auto"/>
        <w:rPr>
          <w:rFonts w:cs="Arial"/>
          <w:color w:val="000000" w:themeColor="text1"/>
          <w:sz w:val="24"/>
          <w:szCs w:val="24"/>
        </w:rPr>
      </w:pPr>
    </w:p>
    <w:p w:rsidR="005A48C8" w:rsidRDefault="005A48C8" w:rsidP="00D764AE">
      <w:pPr>
        <w:pStyle w:val="Legal"/>
        <w:tabs>
          <w:tab w:val="left" w:pos="567"/>
          <w:tab w:val="left" w:pos="1134"/>
          <w:tab w:val="left" w:pos="6237"/>
        </w:tabs>
        <w:spacing w:after="0" w:line="240" w:lineRule="auto"/>
        <w:rPr>
          <w:rFonts w:ascii="Arial" w:hAnsi="Arial" w:cs="Arial"/>
          <w:color w:val="000000" w:themeColor="text1"/>
          <w:szCs w:val="16"/>
        </w:rPr>
      </w:pPr>
      <w:r w:rsidRPr="00D764AE">
        <w:rPr>
          <w:rFonts w:ascii="Arial" w:hAnsi="Arial" w:cs="Arial"/>
          <w:color w:val="000000" w:themeColor="text1"/>
          <w:szCs w:val="16"/>
        </w:rPr>
        <w:t xml:space="preserve">1 ST v SSWP (ESA) [2012] UKUT 469 (AAC); AM v SS [2013] UKUT 458 (AAC); JC v Department for Social Development (IB) [2011] </w:t>
      </w:r>
      <w:proofErr w:type="spellStart"/>
      <w:r w:rsidRPr="00D764AE">
        <w:rPr>
          <w:rFonts w:ascii="Arial" w:hAnsi="Arial" w:cs="Arial"/>
          <w:color w:val="000000" w:themeColor="text1"/>
          <w:szCs w:val="16"/>
        </w:rPr>
        <w:t>NICom</w:t>
      </w:r>
      <w:proofErr w:type="spellEnd"/>
      <w:r w:rsidRPr="00D764AE">
        <w:rPr>
          <w:rFonts w:ascii="Arial" w:hAnsi="Arial" w:cs="Arial"/>
          <w:color w:val="000000" w:themeColor="text1"/>
          <w:szCs w:val="16"/>
        </w:rPr>
        <w:t xml:space="preserve"> 177; [2014] AACR 30 </w:t>
      </w:r>
    </w:p>
    <w:p w:rsidR="00D764AE" w:rsidRPr="00D764AE" w:rsidRDefault="00D764AE" w:rsidP="00D764AE">
      <w:pPr>
        <w:spacing w:after="0" w:line="240" w:lineRule="auto"/>
      </w:pPr>
    </w:p>
    <w:p w:rsidR="005A48C8" w:rsidRDefault="00DE58D4" w:rsidP="00DE58D4">
      <w:pPr>
        <w:pStyle w:val="MainNums"/>
        <w:numPr>
          <w:ilvl w:val="0"/>
          <w:numId w:val="0"/>
        </w:numPr>
        <w:tabs>
          <w:tab w:val="left" w:pos="567"/>
          <w:tab w:val="left" w:pos="1134"/>
          <w:tab w:val="left" w:pos="6237"/>
        </w:tabs>
        <w:spacing w:before="0" w:after="0" w:line="240" w:lineRule="auto"/>
        <w:ind w:left="567" w:hanging="567"/>
        <w:rPr>
          <w:rFonts w:cs="Arial"/>
          <w:color w:val="000000" w:themeColor="text1"/>
          <w:sz w:val="24"/>
          <w:szCs w:val="24"/>
        </w:rPr>
      </w:pPr>
      <w:r>
        <w:rPr>
          <w:rFonts w:cs="Arial"/>
          <w:color w:val="000000" w:themeColor="text1"/>
          <w:sz w:val="24"/>
          <w:szCs w:val="24"/>
        </w:rPr>
        <w:t>4</w:t>
      </w:r>
      <w:r>
        <w:rPr>
          <w:rFonts w:cs="Arial"/>
          <w:color w:val="000000" w:themeColor="text1"/>
          <w:sz w:val="24"/>
          <w:szCs w:val="24"/>
        </w:rPr>
        <w:tab/>
      </w:r>
      <w:r w:rsidR="005A48C8" w:rsidRPr="00D764AE">
        <w:rPr>
          <w:rFonts w:cs="Arial"/>
          <w:color w:val="000000" w:themeColor="text1"/>
          <w:sz w:val="24"/>
          <w:szCs w:val="24"/>
        </w:rPr>
        <w:t xml:space="preserve">The </w:t>
      </w:r>
      <w:r w:rsidR="00074A23" w:rsidRPr="00D764AE">
        <w:rPr>
          <w:rFonts w:cs="Arial"/>
          <w:color w:val="000000" w:themeColor="text1"/>
          <w:sz w:val="24"/>
          <w:szCs w:val="24"/>
        </w:rPr>
        <w:t>Upper Tribunal</w:t>
      </w:r>
      <w:r w:rsidR="005A48C8" w:rsidRPr="00D764AE">
        <w:rPr>
          <w:rFonts w:cs="Arial"/>
          <w:color w:val="000000" w:themeColor="text1"/>
          <w:sz w:val="24"/>
          <w:szCs w:val="24"/>
        </w:rPr>
        <w:t xml:space="preserve"> endorsed the previous case law and decided that</w:t>
      </w:r>
      <w:r w:rsidR="005A48C8" w:rsidRPr="00D764AE">
        <w:rPr>
          <w:rFonts w:eastAsia="Calibri" w:cs="Arial"/>
          <w:color w:val="000000" w:themeColor="text1"/>
          <w:kern w:val="0"/>
          <w:sz w:val="24"/>
          <w:szCs w:val="24"/>
          <w:lang w:eastAsia="en-GB"/>
        </w:rPr>
        <w:t xml:space="preserve"> </w:t>
      </w:r>
      <w:r w:rsidR="005A48C8" w:rsidRPr="00D764AE">
        <w:rPr>
          <w:rFonts w:cs="Arial"/>
          <w:color w:val="000000" w:themeColor="text1"/>
          <w:sz w:val="24"/>
          <w:szCs w:val="24"/>
        </w:rPr>
        <w:t>regulations</w:t>
      </w:r>
      <w:r w:rsidR="005A48C8" w:rsidRPr="00D764AE">
        <w:rPr>
          <w:rFonts w:cs="Arial"/>
          <w:color w:val="000000" w:themeColor="text1"/>
          <w:sz w:val="24"/>
          <w:szCs w:val="24"/>
          <w:vertAlign w:val="superscript"/>
        </w:rPr>
        <w:t>1</w:t>
      </w:r>
      <w:r w:rsidR="005A48C8" w:rsidRPr="00D764AE">
        <w:rPr>
          <w:rFonts w:cs="Arial"/>
          <w:color w:val="000000" w:themeColor="text1"/>
          <w:sz w:val="24"/>
          <w:szCs w:val="24"/>
        </w:rPr>
        <w:t xml:space="preserve"> authorise a supersession decision following receipt of medical evidence from a H</w:t>
      </w:r>
      <w:r w:rsidR="00074A23" w:rsidRPr="00D764AE">
        <w:rPr>
          <w:rFonts w:cs="Arial"/>
          <w:color w:val="000000" w:themeColor="text1"/>
          <w:sz w:val="24"/>
          <w:szCs w:val="24"/>
        </w:rPr>
        <w:t xml:space="preserve">ealth </w:t>
      </w:r>
      <w:r w:rsidR="005A48C8" w:rsidRPr="00D764AE">
        <w:rPr>
          <w:rFonts w:cs="Arial"/>
          <w:color w:val="000000" w:themeColor="text1"/>
          <w:sz w:val="24"/>
          <w:szCs w:val="24"/>
        </w:rPr>
        <w:t>C</w:t>
      </w:r>
      <w:r w:rsidR="00074A23" w:rsidRPr="00D764AE">
        <w:rPr>
          <w:rFonts w:cs="Arial"/>
          <w:color w:val="000000" w:themeColor="text1"/>
          <w:sz w:val="24"/>
          <w:szCs w:val="24"/>
        </w:rPr>
        <w:t xml:space="preserve">are </w:t>
      </w:r>
      <w:r w:rsidR="005A48C8" w:rsidRPr="00D764AE">
        <w:rPr>
          <w:rFonts w:cs="Arial"/>
          <w:color w:val="000000" w:themeColor="text1"/>
          <w:sz w:val="24"/>
          <w:szCs w:val="24"/>
        </w:rPr>
        <w:t>P</w:t>
      </w:r>
      <w:r w:rsidR="00074A23" w:rsidRPr="00D764AE">
        <w:rPr>
          <w:rFonts w:cs="Arial"/>
          <w:color w:val="000000" w:themeColor="text1"/>
          <w:sz w:val="24"/>
          <w:szCs w:val="24"/>
        </w:rPr>
        <w:t>rofessional</w:t>
      </w:r>
      <w:r w:rsidR="005A48C8" w:rsidRPr="00D764AE">
        <w:rPr>
          <w:rFonts w:cs="Arial"/>
          <w:color w:val="000000" w:themeColor="text1"/>
          <w:sz w:val="24"/>
          <w:szCs w:val="24"/>
        </w:rPr>
        <w:t xml:space="preserve">. There is no requirement to identify a change of circumstances. However, the decision, whether made by the </w:t>
      </w:r>
      <w:r w:rsidR="00074A23" w:rsidRPr="00D764AE">
        <w:rPr>
          <w:rFonts w:cs="Arial"/>
          <w:color w:val="000000" w:themeColor="text1"/>
          <w:sz w:val="24"/>
          <w:szCs w:val="24"/>
        </w:rPr>
        <w:t>decision maker</w:t>
      </w:r>
      <w:r w:rsidR="005A48C8" w:rsidRPr="00D764AE">
        <w:rPr>
          <w:rFonts w:cs="Arial"/>
          <w:color w:val="000000" w:themeColor="text1"/>
          <w:sz w:val="24"/>
          <w:szCs w:val="24"/>
        </w:rPr>
        <w:t xml:space="preserve"> or the </w:t>
      </w:r>
      <w:r w:rsidR="00074A23" w:rsidRPr="00D764AE">
        <w:rPr>
          <w:rFonts w:cs="Arial"/>
          <w:color w:val="000000" w:themeColor="text1"/>
          <w:sz w:val="24"/>
          <w:szCs w:val="24"/>
        </w:rPr>
        <w:t>Tribunal</w:t>
      </w:r>
      <w:r w:rsidR="005A48C8" w:rsidRPr="00D764AE">
        <w:rPr>
          <w:rFonts w:cs="Arial"/>
          <w:color w:val="000000" w:themeColor="text1"/>
          <w:sz w:val="24"/>
          <w:szCs w:val="24"/>
        </w:rPr>
        <w:t xml:space="preserve"> should be made after an assessment of all relevant evidence. This will include making decisions on whether the substantive tests of L</w:t>
      </w:r>
      <w:r w:rsidR="00074A23" w:rsidRPr="00D764AE">
        <w:rPr>
          <w:rFonts w:cs="Arial"/>
          <w:color w:val="000000" w:themeColor="text1"/>
          <w:sz w:val="24"/>
          <w:szCs w:val="24"/>
        </w:rPr>
        <w:t xml:space="preserve">imited </w:t>
      </w:r>
      <w:r w:rsidR="005A48C8" w:rsidRPr="00D764AE">
        <w:rPr>
          <w:rFonts w:cs="Arial"/>
          <w:color w:val="000000" w:themeColor="text1"/>
          <w:sz w:val="24"/>
          <w:szCs w:val="24"/>
        </w:rPr>
        <w:t>C</w:t>
      </w:r>
      <w:r w:rsidR="00074A23" w:rsidRPr="00D764AE">
        <w:rPr>
          <w:rFonts w:cs="Arial"/>
          <w:color w:val="000000" w:themeColor="text1"/>
          <w:sz w:val="24"/>
          <w:szCs w:val="24"/>
        </w:rPr>
        <w:t xml:space="preserve">apability for </w:t>
      </w:r>
      <w:r w:rsidR="005A48C8" w:rsidRPr="00D764AE">
        <w:rPr>
          <w:rFonts w:cs="Arial"/>
          <w:color w:val="000000" w:themeColor="text1"/>
          <w:sz w:val="24"/>
          <w:szCs w:val="24"/>
        </w:rPr>
        <w:t>W</w:t>
      </w:r>
      <w:r w:rsidR="00074A23" w:rsidRPr="00D764AE">
        <w:rPr>
          <w:rFonts w:cs="Arial"/>
          <w:color w:val="000000" w:themeColor="text1"/>
          <w:sz w:val="24"/>
          <w:szCs w:val="24"/>
        </w:rPr>
        <w:t>ork</w:t>
      </w:r>
      <w:r w:rsidR="005A48C8" w:rsidRPr="00D764AE">
        <w:rPr>
          <w:rFonts w:cs="Arial"/>
          <w:color w:val="000000" w:themeColor="text1"/>
          <w:sz w:val="24"/>
          <w:szCs w:val="24"/>
        </w:rPr>
        <w:t xml:space="preserve"> were satisfied.</w:t>
      </w:r>
      <w:r w:rsidR="00074A23" w:rsidRPr="00D764AE">
        <w:rPr>
          <w:rFonts w:cs="Arial"/>
          <w:color w:val="000000" w:themeColor="text1"/>
          <w:sz w:val="24"/>
          <w:szCs w:val="24"/>
        </w:rPr>
        <w:t xml:space="preserve"> </w:t>
      </w:r>
    </w:p>
    <w:p w:rsidR="00D764AE" w:rsidRPr="00D764AE" w:rsidRDefault="00D764AE" w:rsidP="00D764AE">
      <w:pPr>
        <w:pStyle w:val="MainNums"/>
        <w:numPr>
          <w:ilvl w:val="0"/>
          <w:numId w:val="0"/>
        </w:numPr>
        <w:tabs>
          <w:tab w:val="left" w:pos="567"/>
          <w:tab w:val="left" w:pos="1134"/>
          <w:tab w:val="left" w:pos="6237"/>
        </w:tabs>
        <w:spacing w:before="0" w:after="0" w:line="240" w:lineRule="auto"/>
        <w:rPr>
          <w:rFonts w:cs="Arial"/>
          <w:color w:val="000000" w:themeColor="text1"/>
          <w:sz w:val="24"/>
          <w:szCs w:val="24"/>
        </w:rPr>
      </w:pPr>
    </w:p>
    <w:p w:rsidR="005A48C8" w:rsidRDefault="005A48C8" w:rsidP="00D764AE">
      <w:pPr>
        <w:pStyle w:val="Legal"/>
        <w:tabs>
          <w:tab w:val="left" w:pos="567"/>
          <w:tab w:val="left" w:pos="1134"/>
          <w:tab w:val="left" w:pos="6237"/>
        </w:tabs>
        <w:spacing w:after="0" w:line="240" w:lineRule="auto"/>
        <w:rPr>
          <w:rFonts w:ascii="Arial" w:hAnsi="Arial" w:cs="Arial"/>
          <w:color w:val="000000" w:themeColor="text1"/>
          <w:szCs w:val="16"/>
        </w:rPr>
      </w:pPr>
      <w:r w:rsidRPr="00D764AE">
        <w:rPr>
          <w:rFonts w:ascii="Arial" w:hAnsi="Arial" w:cs="Arial"/>
          <w:color w:val="000000" w:themeColor="text1"/>
          <w:szCs w:val="16"/>
        </w:rPr>
        <w:t>1 UC</w:t>
      </w:r>
      <w:proofErr w:type="gramStart"/>
      <w:r w:rsidRPr="00D764AE">
        <w:rPr>
          <w:rFonts w:ascii="Arial" w:hAnsi="Arial" w:cs="Arial"/>
          <w:color w:val="000000" w:themeColor="text1"/>
          <w:szCs w:val="16"/>
        </w:rPr>
        <w:t>,PIP,JSA,ESA</w:t>
      </w:r>
      <w:proofErr w:type="gramEnd"/>
      <w:r w:rsidRPr="00D764AE">
        <w:rPr>
          <w:rFonts w:ascii="Arial" w:hAnsi="Arial" w:cs="Arial"/>
          <w:color w:val="000000" w:themeColor="text1"/>
          <w:szCs w:val="16"/>
        </w:rPr>
        <w:t>(D&amp;A)</w:t>
      </w:r>
      <w:proofErr w:type="spellStart"/>
      <w:r w:rsidRPr="00D764AE">
        <w:rPr>
          <w:rFonts w:ascii="Arial" w:hAnsi="Arial" w:cs="Arial"/>
          <w:color w:val="000000" w:themeColor="text1"/>
          <w:szCs w:val="16"/>
        </w:rPr>
        <w:t>Regs</w:t>
      </w:r>
      <w:proofErr w:type="spellEnd"/>
      <w:r w:rsidRPr="00D764AE">
        <w:rPr>
          <w:rFonts w:ascii="Arial" w:hAnsi="Arial" w:cs="Arial"/>
          <w:color w:val="000000" w:themeColor="text1"/>
          <w:szCs w:val="16"/>
        </w:rPr>
        <w:t xml:space="preserve">, </w:t>
      </w:r>
      <w:proofErr w:type="spellStart"/>
      <w:r w:rsidRPr="00D764AE">
        <w:rPr>
          <w:rFonts w:ascii="Arial" w:hAnsi="Arial" w:cs="Arial"/>
          <w:color w:val="000000" w:themeColor="text1"/>
          <w:szCs w:val="16"/>
        </w:rPr>
        <w:t>reg</w:t>
      </w:r>
      <w:proofErr w:type="spellEnd"/>
      <w:r w:rsidRPr="00D764AE">
        <w:rPr>
          <w:rFonts w:ascii="Arial" w:hAnsi="Arial" w:cs="Arial"/>
          <w:color w:val="000000" w:themeColor="text1"/>
          <w:szCs w:val="16"/>
        </w:rPr>
        <w:t xml:space="preserve"> 26(1) </w:t>
      </w:r>
    </w:p>
    <w:p w:rsidR="00DE58D4" w:rsidRDefault="00DE58D4">
      <w:pPr>
        <w:spacing w:after="160" w:line="259" w:lineRule="auto"/>
      </w:pPr>
      <w:r>
        <w:br w:type="page"/>
      </w:r>
    </w:p>
    <w:p w:rsidR="00D764AE" w:rsidRPr="00D764AE" w:rsidRDefault="00D764AE" w:rsidP="00D764AE">
      <w:pPr>
        <w:spacing w:after="0" w:line="240" w:lineRule="auto"/>
      </w:pPr>
    </w:p>
    <w:p w:rsidR="005A48C8" w:rsidRDefault="00DE58D4" w:rsidP="00D764AE">
      <w:pPr>
        <w:pStyle w:val="Topic"/>
        <w:tabs>
          <w:tab w:val="left" w:pos="567"/>
          <w:tab w:val="left" w:pos="1134"/>
          <w:tab w:val="left" w:pos="6237"/>
        </w:tabs>
        <w:spacing w:before="0" w:after="0" w:line="240" w:lineRule="auto"/>
        <w:rPr>
          <w:rFonts w:cs="Arial"/>
          <w:color w:val="000000" w:themeColor="text1"/>
          <w:szCs w:val="24"/>
        </w:rPr>
      </w:pPr>
      <w:r>
        <w:rPr>
          <w:rFonts w:cs="Arial"/>
          <w:color w:val="000000" w:themeColor="text1"/>
          <w:szCs w:val="24"/>
        </w:rPr>
        <w:tab/>
      </w:r>
      <w:r w:rsidR="005A48C8" w:rsidRPr="00D764AE">
        <w:rPr>
          <w:rFonts w:cs="Arial"/>
          <w:color w:val="000000" w:themeColor="text1"/>
          <w:szCs w:val="24"/>
        </w:rPr>
        <w:t xml:space="preserve">the </w:t>
      </w:r>
      <w:r w:rsidR="00074A23" w:rsidRPr="00D764AE">
        <w:rPr>
          <w:rFonts w:cs="Arial"/>
          <w:color w:val="000000" w:themeColor="text1"/>
          <w:szCs w:val="24"/>
        </w:rPr>
        <w:t>Department</w:t>
      </w:r>
      <w:r w:rsidR="005A48C8" w:rsidRPr="00D764AE">
        <w:rPr>
          <w:rFonts w:cs="Arial"/>
          <w:color w:val="000000" w:themeColor="text1"/>
          <w:szCs w:val="24"/>
        </w:rPr>
        <w:t>’s responsibilities</w:t>
      </w:r>
    </w:p>
    <w:p w:rsidR="00DE58D4" w:rsidRPr="00DE58D4" w:rsidRDefault="00DE58D4" w:rsidP="00DE58D4">
      <w:pPr>
        <w:pStyle w:val="MainNums"/>
        <w:numPr>
          <w:ilvl w:val="0"/>
          <w:numId w:val="0"/>
        </w:numPr>
        <w:spacing w:before="0" w:after="0" w:line="240" w:lineRule="auto"/>
      </w:pPr>
    </w:p>
    <w:p w:rsidR="005A48C8" w:rsidRDefault="00DE58D4" w:rsidP="00DE58D4">
      <w:pPr>
        <w:pStyle w:val="MainNums"/>
        <w:numPr>
          <w:ilvl w:val="0"/>
          <w:numId w:val="0"/>
        </w:numPr>
        <w:tabs>
          <w:tab w:val="left" w:pos="567"/>
          <w:tab w:val="left" w:pos="1134"/>
          <w:tab w:val="left" w:pos="6237"/>
        </w:tabs>
        <w:spacing w:before="0" w:after="0" w:line="240" w:lineRule="auto"/>
        <w:ind w:left="567" w:hanging="567"/>
        <w:rPr>
          <w:rFonts w:cs="Arial"/>
          <w:color w:val="000000" w:themeColor="text1"/>
          <w:sz w:val="24"/>
          <w:szCs w:val="24"/>
        </w:rPr>
      </w:pPr>
      <w:r>
        <w:rPr>
          <w:rFonts w:cs="Arial"/>
          <w:color w:val="000000" w:themeColor="text1"/>
          <w:sz w:val="24"/>
          <w:szCs w:val="24"/>
        </w:rPr>
        <w:t>5</w:t>
      </w:r>
      <w:r>
        <w:rPr>
          <w:rFonts w:cs="Arial"/>
          <w:color w:val="000000" w:themeColor="text1"/>
          <w:sz w:val="24"/>
          <w:szCs w:val="24"/>
        </w:rPr>
        <w:tab/>
      </w:r>
      <w:r w:rsidR="005A48C8" w:rsidRPr="00D764AE">
        <w:rPr>
          <w:rFonts w:cs="Arial"/>
          <w:color w:val="000000" w:themeColor="text1"/>
          <w:sz w:val="24"/>
          <w:szCs w:val="24"/>
        </w:rPr>
        <w:t xml:space="preserve">In a previous decision of the </w:t>
      </w:r>
      <w:r w:rsidR="00E9627A" w:rsidRPr="00D764AE">
        <w:rPr>
          <w:rFonts w:cs="Arial"/>
          <w:color w:val="000000" w:themeColor="text1"/>
          <w:sz w:val="24"/>
          <w:szCs w:val="24"/>
        </w:rPr>
        <w:t xml:space="preserve">Upper Tribunal </w:t>
      </w:r>
      <w:r w:rsidR="005A48C8" w:rsidRPr="00D764AE">
        <w:rPr>
          <w:rFonts w:cs="Arial"/>
          <w:color w:val="000000" w:themeColor="text1"/>
          <w:sz w:val="24"/>
          <w:szCs w:val="24"/>
          <w:vertAlign w:val="superscript"/>
        </w:rPr>
        <w:t>1</w:t>
      </w:r>
      <w:r w:rsidR="005A48C8" w:rsidRPr="00D764AE">
        <w:rPr>
          <w:rFonts w:cs="Arial"/>
          <w:color w:val="000000" w:themeColor="text1"/>
          <w:sz w:val="24"/>
          <w:szCs w:val="24"/>
        </w:rPr>
        <w:t xml:space="preserve"> the Judge</w:t>
      </w:r>
      <w:r w:rsidR="00E9627A" w:rsidRPr="00D764AE">
        <w:rPr>
          <w:rFonts w:cs="Arial"/>
          <w:color w:val="000000" w:themeColor="text1"/>
          <w:sz w:val="24"/>
          <w:szCs w:val="24"/>
        </w:rPr>
        <w:t xml:space="preserve"> (equivalent to Commissioner in Northern Ireland) </w:t>
      </w:r>
      <w:r w:rsidR="005A48C8" w:rsidRPr="00D764AE">
        <w:rPr>
          <w:rFonts w:cs="Arial"/>
          <w:color w:val="000000" w:themeColor="text1"/>
          <w:sz w:val="24"/>
          <w:szCs w:val="24"/>
        </w:rPr>
        <w:t xml:space="preserve">concluded that the Secretary of State </w:t>
      </w:r>
      <w:r w:rsidR="00E9627A" w:rsidRPr="00D764AE">
        <w:rPr>
          <w:rFonts w:cs="Arial"/>
          <w:color w:val="000000" w:themeColor="text1"/>
          <w:sz w:val="24"/>
          <w:szCs w:val="24"/>
        </w:rPr>
        <w:t>(</w:t>
      </w:r>
      <w:r w:rsidR="00975458" w:rsidRPr="00D764AE">
        <w:rPr>
          <w:rFonts w:cs="Arial"/>
          <w:color w:val="000000" w:themeColor="text1"/>
          <w:sz w:val="24"/>
          <w:szCs w:val="24"/>
        </w:rPr>
        <w:t xml:space="preserve">the </w:t>
      </w:r>
      <w:r w:rsidR="00E9627A" w:rsidRPr="00D764AE">
        <w:rPr>
          <w:rFonts w:cs="Arial"/>
          <w:color w:val="000000" w:themeColor="text1"/>
          <w:sz w:val="24"/>
          <w:szCs w:val="24"/>
        </w:rPr>
        <w:t xml:space="preserve">Department in Northern Ireland) </w:t>
      </w:r>
      <w:r w:rsidR="005A48C8" w:rsidRPr="00D764AE">
        <w:rPr>
          <w:rFonts w:cs="Arial"/>
          <w:color w:val="000000" w:themeColor="text1"/>
          <w:sz w:val="24"/>
          <w:szCs w:val="24"/>
        </w:rPr>
        <w:t xml:space="preserve">is obliged to provide all </w:t>
      </w:r>
      <w:r w:rsidR="005A48C8" w:rsidRPr="00D764AE">
        <w:rPr>
          <w:rFonts w:cs="Arial"/>
          <w:b/>
          <w:color w:val="000000" w:themeColor="text1"/>
          <w:sz w:val="24"/>
          <w:szCs w:val="24"/>
        </w:rPr>
        <w:t>relevant</w:t>
      </w:r>
      <w:r w:rsidR="005A48C8" w:rsidRPr="00D764AE">
        <w:rPr>
          <w:rFonts w:cs="Arial"/>
          <w:color w:val="000000" w:themeColor="text1"/>
          <w:sz w:val="24"/>
          <w:szCs w:val="24"/>
        </w:rPr>
        <w:t xml:space="preserve"> information in relation to the decision and that the decision making chronology and history is clear. The Judge drew reference from rule 24(4)(b) of the Tribunal Procedure Rules 2008</w:t>
      </w:r>
      <w:bookmarkStart w:id="0" w:name="_GoBack"/>
      <w:bookmarkEnd w:id="0"/>
      <w:r w:rsidR="005A48C8" w:rsidRPr="00D764AE">
        <w:rPr>
          <w:rFonts w:cs="Arial"/>
          <w:color w:val="000000" w:themeColor="text1"/>
          <w:sz w:val="24"/>
          <w:szCs w:val="24"/>
        </w:rPr>
        <w:t xml:space="preserve"> where the Secretary of State is obliged to provide the F</w:t>
      </w:r>
      <w:r w:rsidR="00E9627A" w:rsidRPr="00D764AE">
        <w:rPr>
          <w:rFonts w:cs="Arial"/>
          <w:color w:val="000000" w:themeColor="text1"/>
          <w:sz w:val="24"/>
          <w:szCs w:val="24"/>
        </w:rPr>
        <w:t xml:space="preserve">irst Tier </w:t>
      </w:r>
      <w:r w:rsidR="005A48C8" w:rsidRPr="00D764AE">
        <w:rPr>
          <w:rFonts w:cs="Arial"/>
          <w:color w:val="000000" w:themeColor="text1"/>
          <w:sz w:val="24"/>
          <w:szCs w:val="24"/>
        </w:rPr>
        <w:t>T</w:t>
      </w:r>
      <w:r w:rsidR="00E9627A" w:rsidRPr="00D764AE">
        <w:rPr>
          <w:rFonts w:cs="Arial"/>
          <w:color w:val="000000" w:themeColor="text1"/>
          <w:sz w:val="24"/>
          <w:szCs w:val="24"/>
        </w:rPr>
        <w:t>ribunal</w:t>
      </w:r>
      <w:r w:rsidR="005A48C8" w:rsidRPr="00D764AE">
        <w:rPr>
          <w:rFonts w:cs="Arial"/>
          <w:color w:val="000000" w:themeColor="text1"/>
          <w:sz w:val="24"/>
          <w:szCs w:val="24"/>
        </w:rPr>
        <w:t xml:space="preserve"> </w:t>
      </w:r>
      <w:r w:rsidR="00E9627A" w:rsidRPr="00D764AE">
        <w:rPr>
          <w:rFonts w:cs="Arial"/>
          <w:color w:val="000000" w:themeColor="text1"/>
          <w:sz w:val="24"/>
          <w:szCs w:val="24"/>
        </w:rPr>
        <w:t xml:space="preserve"> (equivalent to Appeal Tribunal in Northern Ireland) </w:t>
      </w:r>
      <w:r w:rsidR="005A48C8" w:rsidRPr="00D764AE">
        <w:rPr>
          <w:rFonts w:cs="Arial"/>
          <w:color w:val="000000" w:themeColor="text1"/>
          <w:sz w:val="24"/>
          <w:szCs w:val="24"/>
        </w:rPr>
        <w:t>with all relevant documents in his possession</w:t>
      </w:r>
      <w:r w:rsidR="001E1059" w:rsidRPr="00D764AE">
        <w:rPr>
          <w:rFonts w:cs="Arial"/>
          <w:color w:val="000000" w:themeColor="text1"/>
          <w:sz w:val="24"/>
          <w:szCs w:val="24"/>
        </w:rPr>
        <w:t xml:space="preserve"> (see ADM A5333)</w:t>
      </w:r>
      <w:r w:rsidR="005A48C8" w:rsidRPr="00D764AE">
        <w:rPr>
          <w:rFonts w:cs="Arial"/>
          <w:color w:val="000000" w:themeColor="text1"/>
          <w:sz w:val="24"/>
          <w:szCs w:val="24"/>
        </w:rPr>
        <w:t>. The three-Judge panel agreed with that approach.</w:t>
      </w:r>
    </w:p>
    <w:p w:rsidR="00D764AE" w:rsidRPr="00D764AE" w:rsidRDefault="00D764AE" w:rsidP="00D764AE">
      <w:pPr>
        <w:pStyle w:val="MainNums"/>
        <w:numPr>
          <w:ilvl w:val="0"/>
          <w:numId w:val="0"/>
        </w:numPr>
        <w:tabs>
          <w:tab w:val="left" w:pos="567"/>
          <w:tab w:val="left" w:pos="1134"/>
          <w:tab w:val="left" w:pos="6237"/>
        </w:tabs>
        <w:spacing w:before="0" w:after="0" w:line="240" w:lineRule="auto"/>
        <w:rPr>
          <w:rFonts w:cs="Arial"/>
          <w:color w:val="000000" w:themeColor="text1"/>
          <w:sz w:val="24"/>
          <w:szCs w:val="24"/>
        </w:rPr>
      </w:pPr>
    </w:p>
    <w:p w:rsidR="00D764AE" w:rsidRDefault="005A48C8" w:rsidP="00D764AE">
      <w:pPr>
        <w:pStyle w:val="Legal"/>
        <w:tabs>
          <w:tab w:val="left" w:pos="567"/>
          <w:tab w:val="left" w:pos="1134"/>
          <w:tab w:val="left" w:pos="6237"/>
        </w:tabs>
        <w:spacing w:after="0" w:line="240" w:lineRule="auto"/>
        <w:rPr>
          <w:rFonts w:ascii="Arial" w:hAnsi="Arial" w:cs="Arial"/>
          <w:color w:val="000000" w:themeColor="text1"/>
          <w:szCs w:val="16"/>
        </w:rPr>
      </w:pPr>
      <w:r w:rsidRPr="00D764AE">
        <w:rPr>
          <w:rFonts w:ascii="Arial" w:hAnsi="Arial" w:cs="Arial"/>
          <w:color w:val="000000" w:themeColor="text1"/>
          <w:szCs w:val="16"/>
        </w:rPr>
        <w:t xml:space="preserve">1 ST v SSWP (ESA) [2012] UKUT 469 (AAC) </w:t>
      </w:r>
    </w:p>
    <w:p w:rsidR="00D764AE" w:rsidRPr="00D764AE" w:rsidRDefault="00D764AE" w:rsidP="00D764AE">
      <w:pPr>
        <w:spacing w:after="0" w:line="240" w:lineRule="auto"/>
      </w:pPr>
    </w:p>
    <w:p w:rsidR="005A48C8" w:rsidRDefault="00DE58D4" w:rsidP="00DE58D4">
      <w:pPr>
        <w:pStyle w:val="Legal"/>
        <w:tabs>
          <w:tab w:val="left" w:pos="567"/>
          <w:tab w:val="left" w:pos="1134"/>
          <w:tab w:val="left" w:pos="6237"/>
        </w:tabs>
        <w:spacing w:after="0" w:line="240" w:lineRule="auto"/>
        <w:ind w:left="567" w:hanging="567"/>
        <w:jc w:val="left"/>
        <w:rPr>
          <w:rFonts w:ascii="Arial" w:hAnsi="Arial" w:cs="Arial"/>
          <w:i w:val="0"/>
          <w:color w:val="000000" w:themeColor="text1"/>
          <w:sz w:val="24"/>
          <w:szCs w:val="24"/>
        </w:rPr>
      </w:pPr>
      <w:r>
        <w:rPr>
          <w:rFonts w:ascii="Arial" w:hAnsi="Arial" w:cs="Arial"/>
          <w:i w:val="0"/>
          <w:color w:val="000000" w:themeColor="text1"/>
          <w:sz w:val="24"/>
          <w:szCs w:val="24"/>
        </w:rPr>
        <w:t>6</w:t>
      </w:r>
      <w:r>
        <w:rPr>
          <w:rFonts w:ascii="Arial" w:hAnsi="Arial" w:cs="Arial"/>
          <w:i w:val="0"/>
          <w:color w:val="000000" w:themeColor="text1"/>
          <w:sz w:val="24"/>
          <w:szCs w:val="24"/>
        </w:rPr>
        <w:tab/>
      </w:r>
      <w:r w:rsidR="005A48C8" w:rsidRPr="00D764AE">
        <w:rPr>
          <w:rFonts w:ascii="Arial" w:hAnsi="Arial" w:cs="Arial"/>
          <w:i w:val="0"/>
          <w:color w:val="000000" w:themeColor="text1"/>
          <w:sz w:val="24"/>
          <w:szCs w:val="24"/>
        </w:rPr>
        <w:t xml:space="preserve">For example, if a claimant appeals against a supersession decision to disallow </w:t>
      </w:r>
      <w:r w:rsidR="00C91B90" w:rsidRPr="00D764AE">
        <w:rPr>
          <w:rFonts w:ascii="Arial" w:hAnsi="Arial" w:cs="Arial"/>
          <w:i w:val="0"/>
          <w:color w:val="000000" w:themeColor="text1"/>
          <w:sz w:val="24"/>
          <w:szCs w:val="24"/>
        </w:rPr>
        <w:t xml:space="preserve">Employment and Support Allowance </w:t>
      </w:r>
      <w:r w:rsidR="005A48C8" w:rsidRPr="00D764AE">
        <w:rPr>
          <w:rFonts w:ascii="Arial" w:hAnsi="Arial" w:cs="Arial"/>
          <w:i w:val="0"/>
          <w:color w:val="000000" w:themeColor="text1"/>
          <w:sz w:val="24"/>
          <w:szCs w:val="24"/>
        </w:rPr>
        <w:t xml:space="preserve">following the application of the </w:t>
      </w:r>
      <w:r w:rsidR="00C91B90" w:rsidRPr="00D764AE">
        <w:rPr>
          <w:rFonts w:ascii="Arial" w:hAnsi="Arial" w:cs="Arial"/>
          <w:i w:val="0"/>
          <w:color w:val="000000" w:themeColor="text1"/>
          <w:sz w:val="24"/>
          <w:szCs w:val="24"/>
        </w:rPr>
        <w:t>Work Capability Assessment</w:t>
      </w:r>
      <w:r w:rsidR="005A48C8" w:rsidRPr="00D764AE">
        <w:rPr>
          <w:rFonts w:ascii="Arial" w:hAnsi="Arial" w:cs="Arial"/>
          <w:i w:val="0"/>
          <w:color w:val="000000" w:themeColor="text1"/>
          <w:sz w:val="24"/>
          <w:szCs w:val="24"/>
        </w:rPr>
        <w:t xml:space="preserve"> but they had been previously awarded </w:t>
      </w:r>
      <w:r w:rsidR="00C91B90" w:rsidRPr="00D764AE">
        <w:rPr>
          <w:rFonts w:ascii="Arial" w:hAnsi="Arial" w:cs="Arial"/>
          <w:i w:val="0"/>
          <w:color w:val="000000" w:themeColor="text1"/>
          <w:sz w:val="24"/>
          <w:szCs w:val="24"/>
        </w:rPr>
        <w:t>Employment and Support Allowance</w:t>
      </w:r>
      <w:r w:rsidR="005A48C8" w:rsidRPr="00D764AE">
        <w:rPr>
          <w:rFonts w:ascii="Arial" w:hAnsi="Arial" w:cs="Arial"/>
          <w:i w:val="0"/>
          <w:color w:val="000000" w:themeColor="text1"/>
          <w:sz w:val="24"/>
          <w:szCs w:val="24"/>
        </w:rPr>
        <w:t xml:space="preserve"> by </w:t>
      </w:r>
      <w:r w:rsidR="00C91B90" w:rsidRPr="00D764AE">
        <w:rPr>
          <w:rFonts w:ascii="Arial" w:hAnsi="Arial" w:cs="Arial"/>
          <w:i w:val="0"/>
          <w:color w:val="000000" w:themeColor="text1"/>
          <w:sz w:val="24"/>
          <w:szCs w:val="24"/>
        </w:rPr>
        <w:t>a Tribunal</w:t>
      </w:r>
      <w:r w:rsidR="005A48C8" w:rsidRPr="00D764AE">
        <w:rPr>
          <w:rFonts w:ascii="Arial" w:hAnsi="Arial" w:cs="Arial"/>
          <w:i w:val="0"/>
          <w:color w:val="000000" w:themeColor="text1"/>
          <w:sz w:val="24"/>
          <w:szCs w:val="24"/>
        </w:rPr>
        <w:t xml:space="preserve">, which was never appealed, the </w:t>
      </w:r>
      <w:r w:rsidR="00C91B90" w:rsidRPr="00D764AE">
        <w:rPr>
          <w:rFonts w:ascii="Arial" w:hAnsi="Arial" w:cs="Arial"/>
          <w:i w:val="0"/>
          <w:color w:val="000000" w:themeColor="text1"/>
          <w:sz w:val="24"/>
          <w:szCs w:val="24"/>
        </w:rPr>
        <w:t>Department</w:t>
      </w:r>
      <w:r w:rsidR="005A48C8" w:rsidRPr="00D764AE">
        <w:rPr>
          <w:rFonts w:ascii="Arial" w:hAnsi="Arial" w:cs="Arial"/>
          <w:i w:val="0"/>
          <w:color w:val="000000" w:themeColor="text1"/>
          <w:sz w:val="24"/>
          <w:szCs w:val="24"/>
        </w:rPr>
        <w:t xml:space="preserve"> should explicitly document this in the decision making history. It will then be clear that the </w:t>
      </w:r>
      <w:r w:rsidR="00C91B90" w:rsidRPr="00D764AE">
        <w:rPr>
          <w:rFonts w:ascii="Arial" w:hAnsi="Arial" w:cs="Arial"/>
          <w:i w:val="0"/>
          <w:color w:val="000000" w:themeColor="text1"/>
          <w:sz w:val="24"/>
          <w:szCs w:val="24"/>
        </w:rPr>
        <w:t>Tribunal</w:t>
      </w:r>
      <w:r w:rsidR="005A48C8" w:rsidRPr="00D764AE">
        <w:rPr>
          <w:rFonts w:ascii="Arial" w:hAnsi="Arial" w:cs="Arial"/>
          <w:i w:val="0"/>
          <w:color w:val="000000" w:themeColor="text1"/>
          <w:sz w:val="24"/>
          <w:szCs w:val="24"/>
        </w:rPr>
        <w:t xml:space="preserve"> replaced a decision of the </w:t>
      </w:r>
      <w:r w:rsidR="00C91B90" w:rsidRPr="00D764AE">
        <w:rPr>
          <w:rFonts w:ascii="Arial" w:hAnsi="Arial" w:cs="Arial"/>
          <w:i w:val="0"/>
          <w:color w:val="000000" w:themeColor="text1"/>
          <w:sz w:val="24"/>
          <w:szCs w:val="24"/>
        </w:rPr>
        <w:t>decision maker</w:t>
      </w:r>
      <w:r w:rsidR="005A48C8" w:rsidRPr="00D764AE">
        <w:rPr>
          <w:rFonts w:ascii="Arial" w:hAnsi="Arial" w:cs="Arial"/>
          <w:i w:val="0"/>
          <w:color w:val="000000" w:themeColor="text1"/>
          <w:sz w:val="24"/>
          <w:szCs w:val="24"/>
        </w:rPr>
        <w:t xml:space="preserve"> with its own decision and so there will be no relevant findings of fact or reasons for the </w:t>
      </w:r>
      <w:r w:rsidR="00C91B90" w:rsidRPr="00D764AE">
        <w:rPr>
          <w:rFonts w:ascii="Arial" w:hAnsi="Arial" w:cs="Arial"/>
          <w:i w:val="0"/>
          <w:color w:val="000000" w:themeColor="text1"/>
          <w:sz w:val="24"/>
          <w:szCs w:val="24"/>
        </w:rPr>
        <w:t>Tribunal</w:t>
      </w:r>
      <w:r w:rsidR="005A48C8" w:rsidRPr="00D764AE">
        <w:rPr>
          <w:rFonts w:ascii="Arial" w:hAnsi="Arial" w:cs="Arial"/>
          <w:i w:val="0"/>
          <w:color w:val="000000" w:themeColor="text1"/>
          <w:sz w:val="24"/>
          <w:szCs w:val="24"/>
        </w:rPr>
        <w:t>’s decision.</w:t>
      </w:r>
    </w:p>
    <w:p w:rsidR="00DE58D4" w:rsidRPr="00DE58D4" w:rsidRDefault="00DE58D4" w:rsidP="00DE58D4">
      <w:pPr>
        <w:spacing w:after="0" w:line="240" w:lineRule="auto"/>
      </w:pPr>
    </w:p>
    <w:p w:rsidR="005A48C8" w:rsidRDefault="00DE58D4" w:rsidP="00DE58D4">
      <w:pPr>
        <w:pStyle w:val="MainNums"/>
        <w:numPr>
          <w:ilvl w:val="0"/>
          <w:numId w:val="0"/>
        </w:numPr>
        <w:tabs>
          <w:tab w:val="left" w:pos="567"/>
          <w:tab w:val="left" w:pos="1134"/>
          <w:tab w:val="left" w:pos="6237"/>
        </w:tabs>
        <w:spacing w:before="0" w:after="0" w:line="240" w:lineRule="auto"/>
        <w:ind w:left="567" w:hanging="567"/>
        <w:rPr>
          <w:rFonts w:cs="Arial"/>
          <w:color w:val="000000" w:themeColor="text1"/>
          <w:sz w:val="24"/>
          <w:szCs w:val="24"/>
        </w:rPr>
      </w:pPr>
      <w:r>
        <w:rPr>
          <w:rFonts w:cs="Arial"/>
          <w:color w:val="000000" w:themeColor="text1"/>
          <w:sz w:val="24"/>
          <w:szCs w:val="24"/>
        </w:rPr>
        <w:t>7</w:t>
      </w:r>
      <w:r>
        <w:rPr>
          <w:rFonts w:cs="Arial"/>
          <w:color w:val="000000" w:themeColor="text1"/>
          <w:sz w:val="24"/>
          <w:szCs w:val="24"/>
        </w:rPr>
        <w:tab/>
      </w:r>
      <w:r w:rsidR="005A48C8" w:rsidRPr="00D764AE">
        <w:rPr>
          <w:rFonts w:cs="Arial"/>
          <w:color w:val="000000" w:themeColor="text1"/>
          <w:sz w:val="24"/>
          <w:szCs w:val="24"/>
        </w:rPr>
        <w:t xml:space="preserve">From this sequence of events the </w:t>
      </w:r>
      <w:r w:rsidR="00C91B90" w:rsidRPr="00D764AE">
        <w:rPr>
          <w:rFonts w:cs="Arial"/>
          <w:color w:val="000000" w:themeColor="text1"/>
          <w:sz w:val="24"/>
          <w:szCs w:val="24"/>
        </w:rPr>
        <w:t>Tribunal</w:t>
      </w:r>
      <w:r w:rsidR="005A48C8" w:rsidRPr="00D764AE">
        <w:rPr>
          <w:rFonts w:cs="Arial"/>
          <w:color w:val="000000" w:themeColor="text1"/>
          <w:sz w:val="24"/>
          <w:szCs w:val="24"/>
        </w:rPr>
        <w:t xml:space="preserve"> will be aware that only the decision notice will be available and that the value of that evidence is minimal. This will assist the </w:t>
      </w:r>
      <w:r w:rsidR="00C91B90" w:rsidRPr="00D764AE">
        <w:rPr>
          <w:rFonts w:cs="Arial"/>
          <w:color w:val="000000" w:themeColor="text1"/>
          <w:sz w:val="24"/>
          <w:szCs w:val="24"/>
        </w:rPr>
        <w:t>Tribunal</w:t>
      </w:r>
      <w:r w:rsidR="005A48C8" w:rsidRPr="00D764AE">
        <w:rPr>
          <w:rFonts w:cs="Arial"/>
          <w:color w:val="000000" w:themeColor="text1"/>
          <w:sz w:val="24"/>
          <w:szCs w:val="24"/>
        </w:rPr>
        <w:t xml:space="preserve"> in deciding whether an adjournment is necessary to call for other evidence. </w:t>
      </w:r>
    </w:p>
    <w:p w:rsidR="00DE58D4" w:rsidRPr="00D764AE" w:rsidRDefault="00DE58D4" w:rsidP="00DE58D4">
      <w:pPr>
        <w:pStyle w:val="MainNums"/>
        <w:numPr>
          <w:ilvl w:val="0"/>
          <w:numId w:val="0"/>
        </w:numPr>
        <w:tabs>
          <w:tab w:val="left" w:pos="567"/>
          <w:tab w:val="left" w:pos="1134"/>
          <w:tab w:val="left" w:pos="6237"/>
        </w:tabs>
        <w:spacing w:before="0" w:after="0" w:line="240" w:lineRule="auto"/>
        <w:rPr>
          <w:rFonts w:cs="Arial"/>
          <w:color w:val="000000" w:themeColor="text1"/>
          <w:sz w:val="24"/>
          <w:szCs w:val="24"/>
        </w:rPr>
      </w:pPr>
    </w:p>
    <w:p w:rsidR="005A48C8" w:rsidRDefault="006D3339" w:rsidP="00DE58D4">
      <w:pPr>
        <w:pStyle w:val="MainNums"/>
        <w:numPr>
          <w:ilvl w:val="0"/>
          <w:numId w:val="0"/>
        </w:numPr>
        <w:tabs>
          <w:tab w:val="left" w:pos="567"/>
          <w:tab w:val="left" w:pos="1134"/>
          <w:tab w:val="left" w:pos="6237"/>
        </w:tabs>
        <w:spacing w:before="0" w:after="0" w:line="240" w:lineRule="auto"/>
        <w:ind w:left="567" w:hanging="567"/>
        <w:rPr>
          <w:rFonts w:cs="Arial"/>
          <w:color w:val="000000" w:themeColor="text1"/>
          <w:sz w:val="24"/>
          <w:szCs w:val="24"/>
        </w:rPr>
      </w:pPr>
      <w:r>
        <w:rPr>
          <w:rFonts w:cs="Arial"/>
          <w:color w:val="000000" w:themeColor="text1"/>
          <w:sz w:val="24"/>
          <w:szCs w:val="24"/>
        </w:rPr>
        <w:t>8</w:t>
      </w:r>
      <w:r w:rsidR="00DE58D4">
        <w:rPr>
          <w:rFonts w:cs="Arial"/>
          <w:color w:val="000000" w:themeColor="text1"/>
          <w:sz w:val="24"/>
          <w:szCs w:val="24"/>
        </w:rPr>
        <w:tab/>
      </w:r>
      <w:r w:rsidR="005A48C8" w:rsidRPr="00D764AE">
        <w:rPr>
          <w:rFonts w:cs="Arial"/>
          <w:color w:val="000000" w:themeColor="text1"/>
          <w:sz w:val="24"/>
          <w:szCs w:val="24"/>
        </w:rPr>
        <w:t xml:space="preserve">If the claimant asserts that their medical condition has not changed since it was previously determined that they had </w:t>
      </w:r>
      <w:r w:rsidR="00C91B90" w:rsidRPr="00D764AE">
        <w:rPr>
          <w:rFonts w:cs="Arial"/>
          <w:color w:val="000000" w:themeColor="text1"/>
          <w:sz w:val="24"/>
          <w:szCs w:val="24"/>
        </w:rPr>
        <w:t>Limited Capability for Work</w:t>
      </w:r>
      <w:r w:rsidR="005A48C8" w:rsidRPr="00D764AE">
        <w:rPr>
          <w:rFonts w:cs="Arial"/>
          <w:color w:val="000000" w:themeColor="text1"/>
          <w:sz w:val="24"/>
          <w:szCs w:val="24"/>
        </w:rPr>
        <w:t xml:space="preserve"> and where there has been no relevant supervening event such as a change in the law or successful medical operation, the </w:t>
      </w:r>
      <w:r w:rsidR="00C91B90" w:rsidRPr="00D764AE">
        <w:rPr>
          <w:rFonts w:cs="Arial"/>
          <w:color w:val="000000" w:themeColor="text1"/>
          <w:sz w:val="24"/>
          <w:szCs w:val="24"/>
        </w:rPr>
        <w:t xml:space="preserve">Department </w:t>
      </w:r>
      <w:r w:rsidR="005A48C8" w:rsidRPr="00D764AE">
        <w:rPr>
          <w:rFonts w:cs="Arial"/>
          <w:color w:val="000000" w:themeColor="text1"/>
          <w:sz w:val="24"/>
          <w:szCs w:val="24"/>
        </w:rPr>
        <w:t xml:space="preserve">must provide the </w:t>
      </w:r>
      <w:r w:rsidR="00C91B90" w:rsidRPr="00D764AE">
        <w:rPr>
          <w:rFonts w:cs="Arial"/>
          <w:color w:val="000000" w:themeColor="text1"/>
          <w:sz w:val="24"/>
          <w:szCs w:val="24"/>
        </w:rPr>
        <w:t>Tribunal</w:t>
      </w:r>
      <w:r w:rsidR="005A48C8" w:rsidRPr="00D764AE">
        <w:rPr>
          <w:rFonts w:cs="Arial"/>
          <w:color w:val="000000" w:themeColor="text1"/>
          <w:sz w:val="24"/>
          <w:szCs w:val="24"/>
        </w:rPr>
        <w:t xml:space="preserve"> with previous medical reports concerning the claimant. The </w:t>
      </w:r>
      <w:r w:rsidR="00C91B90" w:rsidRPr="00D764AE">
        <w:rPr>
          <w:rFonts w:cs="Arial"/>
          <w:color w:val="000000" w:themeColor="text1"/>
          <w:sz w:val="24"/>
          <w:szCs w:val="24"/>
        </w:rPr>
        <w:t>Department</w:t>
      </w:r>
      <w:r w:rsidR="005A48C8" w:rsidRPr="00D764AE">
        <w:rPr>
          <w:rFonts w:cs="Arial"/>
          <w:color w:val="000000" w:themeColor="text1"/>
          <w:sz w:val="24"/>
          <w:szCs w:val="24"/>
        </w:rPr>
        <w:t xml:space="preserve"> should say why the contents of the new ESA 85 or UC 85 as appropriate, whether accepted with or in preference to other relevant evidence, establish that the claimant does not have </w:t>
      </w:r>
      <w:r w:rsidR="00C91B90" w:rsidRPr="00D764AE">
        <w:rPr>
          <w:rFonts w:cs="Arial"/>
          <w:color w:val="000000" w:themeColor="text1"/>
          <w:sz w:val="24"/>
          <w:szCs w:val="24"/>
        </w:rPr>
        <w:t>Limited Capability for Work.</w:t>
      </w:r>
      <w:r w:rsidR="005A48C8" w:rsidRPr="00D764AE">
        <w:rPr>
          <w:rFonts w:cs="Arial"/>
          <w:color w:val="000000" w:themeColor="text1"/>
          <w:sz w:val="24"/>
          <w:szCs w:val="24"/>
        </w:rPr>
        <w:t xml:space="preserve"> </w:t>
      </w:r>
      <w:r w:rsidR="00C91B90" w:rsidRPr="00D764AE">
        <w:rPr>
          <w:rFonts w:cs="Arial"/>
          <w:color w:val="000000" w:themeColor="text1"/>
          <w:sz w:val="24"/>
          <w:szCs w:val="24"/>
        </w:rPr>
        <w:t xml:space="preserve"> </w:t>
      </w:r>
    </w:p>
    <w:p w:rsidR="00DE58D4" w:rsidRPr="00D764AE" w:rsidRDefault="00DE58D4" w:rsidP="00DE58D4">
      <w:pPr>
        <w:pStyle w:val="MainNums"/>
        <w:numPr>
          <w:ilvl w:val="0"/>
          <w:numId w:val="0"/>
        </w:numPr>
        <w:tabs>
          <w:tab w:val="left" w:pos="567"/>
          <w:tab w:val="left" w:pos="1134"/>
          <w:tab w:val="left" w:pos="6237"/>
        </w:tabs>
        <w:spacing w:before="0" w:after="0" w:line="240" w:lineRule="auto"/>
        <w:rPr>
          <w:rFonts w:cs="Arial"/>
          <w:color w:val="000000" w:themeColor="text1"/>
          <w:sz w:val="24"/>
          <w:szCs w:val="24"/>
        </w:rPr>
      </w:pPr>
    </w:p>
    <w:p w:rsidR="005A48C8" w:rsidRDefault="006D3339" w:rsidP="00DE58D4">
      <w:pPr>
        <w:pStyle w:val="MainNums"/>
        <w:numPr>
          <w:ilvl w:val="0"/>
          <w:numId w:val="0"/>
        </w:numPr>
        <w:tabs>
          <w:tab w:val="left" w:pos="567"/>
          <w:tab w:val="left" w:pos="1134"/>
          <w:tab w:val="left" w:pos="6237"/>
        </w:tabs>
        <w:spacing w:before="0" w:after="0" w:line="240" w:lineRule="auto"/>
        <w:ind w:left="567" w:hanging="567"/>
        <w:rPr>
          <w:rFonts w:cs="Arial"/>
          <w:color w:val="000000" w:themeColor="text1"/>
          <w:sz w:val="24"/>
          <w:szCs w:val="24"/>
        </w:rPr>
      </w:pPr>
      <w:r>
        <w:rPr>
          <w:rFonts w:cs="Arial"/>
          <w:color w:val="000000" w:themeColor="text1"/>
          <w:sz w:val="24"/>
          <w:szCs w:val="24"/>
        </w:rPr>
        <w:t>9</w:t>
      </w:r>
      <w:r w:rsidR="00DE58D4">
        <w:rPr>
          <w:rFonts w:cs="Arial"/>
          <w:color w:val="000000" w:themeColor="text1"/>
          <w:sz w:val="24"/>
          <w:szCs w:val="24"/>
        </w:rPr>
        <w:tab/>
      </w:r>
      <w:r w:rsidR="005A48C8" w:rsidRPr="00D764AE">
        <w:rPr>
          <w:rFonts w:cs="Arial"/>
          <w:color w:val="000000" w:themeColor="text1"/>
          <w:sz w:val="24"/>
          <w:szCs w:val="24"/>
        </w:rPr>
        <w:t xml:space="preserve">If medical reports are no longer in the </w:t>
      </w:r>
      <w:r w:rsidR="000E17A8" w:rsidRPr="00D764AE">
        <w:rPr>
          <w:rFonts w:cs="Arial"/>
          <w:color w:val="000000" w:themeColor="text1"/>
          <w:sz w:val="24"/>
          <w:szCs w:val="24"/>
        </w:rPr>
        <w:t>decision maker</w:t>
      </w:r>
      <w:r w:rsidR="005A48C8" w:rsidRPr="00D764AE">
        <w:rPr>
          <w:rFonts w:cs="Arial"/>
          <w:color w:val="000000" w:themeColor="text1"/>
          <w:sz w:val="24"/>
          <w:szCs w:val="24"/>
        </w:rPr>
        <w:t xml:space="preserve">’s possession, the </w:t>
      </w:r>
      <w:r w:rsidR="00C91B90" w:rsidRPr="00D764AE">
        <w:rPr>
          <w:rFonts w:cs="Arial"/>
          <w:color w:val="000000" w:themeColor="text1"/>
          <w:sz w:val="24"/>
          <w:szCs w:val="24"/>
        </w:rPr>
        <w:t>Tribunal</w:t>
      </w:r>
      <w:r w:rsidR="005A48C8" w:rsidRPr="00D764AE">
        <w:rPr>
          <w:rFonts w:cs="Arial"/>
          <w:color w:val="000000" w:themeColor="text1"/>
          <w:sz w:val="24"/>
          <w:szCs w:val="24"/>
        </w:rPr>
        <w:t xml:space="preserve"> should be made aware of this. It should be clear from the decision making history that they did exist together with the decision(s) made subsequent to them. The emphasis here is on the </w:t>
      </w:r>
      <w:r w:rsidR="000E17A8" w:rsidRPr="00D764AE">
        <w:rPr>
          <w:rFonts w:cs="Arial"/>
          <w:color w:val="000000" w:themeColor="text1"/>
          <w:sz w:val="24"/>
          <w:szCs w:val="24"/>
        </w:rPr>
        <w:t>Department</w:t>
      </w:r>
      <w:r w:rsidR="005A48C8" w:rsidRPr="00D764AE">
        <w:rPr>
          <w:rFonts w:cs="Arial"/>
          <w:color w:val="000000" w:themeColor="text1"/>
          <w:sz w:val="24"/>
          <w:szCs w:val="24"/>
        </w:rPr>
        <w:t xml:space="preserve">’s duty but is limited to documents </w:t>
      </w:r>
      <w:r w:rsidR="005A48C8" w:rsidRPr="00D764AE">
        <w:rPr>
          <w:rFonts w:cs="Arial"/>
          <w:b/>
          <w:color w:val="000000" w:themeColor="text1"/>
          <w:sz w:val="24"/>
          <w:szCs w:val="24"/>
        </w:rPr>
        <w:t xml:space="preserve">relevant </w:t>
      </w:r>
      <w:r w:rsidR="005A48C8" w:rsidRPr="00D764AE">
        <w:rPr>
          <w:rFonts w:cs="Arial"/>
          <w:color w:val="000000" w:themeColor="text1"/>
          <w:sz w:val="24"/>
          <w:szCs w:val="24"/>
        </w:rPr>
        <w:t>to the decision under appeal.</w:t>
      </w:r>
      <w:r w:rsidR="000E17A8" w:rsidRPr="00D764AE">
        <w:rPr>
          <w:rFonts w:cs="Arial"/>
          <w:color w:val="000000" w:themeColor="text1"/>
          <w:sz w:val="24"/>
          <w:szCs w:val="24"/>
        </w:rPr>
        <w:t xml:space="preserve"> </w:t>
      </w:r>
    </w:p>
    <w:p w:rsidR="00DE58D4" w:rsidRPr="00D764AE" w:rsidRDefault="00DE58D4" w:rsidP="00DE58D4">
      <w:pPr>
        <w:pStyle w:val="MainNums"/>
        <w:numPr>
          <w:ilvl w:val="0"/>
          <w:numId w:val="0"/>
        </w:numPr>
        <w:tabs>
          <w:tab w:val="left" w:pos="567"/>
          <w:tab w:val="left" w:pos="1134"/>
          <w:tab w:val="left" w:pos="6237"/>
        </w:tabs>
        <w:spacing w:before="0" w:after="0" w:line="240" w:lineRule="auto"/>
        <w:rPr>
          <w:rFonts w:cs="Arial"/>
          <w:color w:val="000000" w:themeColor="text1"/>
          <w:sz w:val="24"/>
          <w:szCs w:val="24"/>
        </w:rPr>
      </w:pPr>
    </w:p>
    <w:p w:rsidR="005A48C8" w:rsidRDefault="006D3339" w:rsidP="00DE58D4">
      <w:pPr>
        <w:pStyle w:val="MainNums"/>
        <w:numPr>
          <w:ilvl w:val="0"/>
          <w:numId w:val="0"/>
        </w:numPr>
        <w:tabs>
          <w:tab w:val="left" w:pos="567"/>
          <w:tab w:val="left" w:pos="1134"/>
          <w:tab w:val="left" w:pos="6237"/>
        </w:tabs>
        <w:spacing w:before="0" w:after="0" w:line="240" w:lineRule="auto"/>
        <w:ind w:left="567" w:hanging="567"/>
        <w:rPr>
          <w:rFonts w:cs="Arial"/>
          <w:color w:val="000000" w:themeColor="text1"/>
          <w:sz w:val="24"/>
          <w:szCs w:val="24"/>
        </w:rPr>
      </w:pPr>
      <w:r>
        <w:rPr>
          <w:rFonts w:cs="Arial"/>
          <w:color w:val="000000" w:themeColor="text1"/>
          <w:sz w:val="24"/>
          <w:szCs w:val="24"/>
        </w:rPr>
        <w:t>10</w:t>
      </w:r>
      <w:r w:rsidR="00DE58D4">
        <w:rPr>
          <w:rFonts w:cs="Arial"/>
          <w:color w:val="000000" w:themeColor="text1"/>
          <w:sz w:val="24"/>
          <w:szCs w:val="24"/>
        </w:rPr>
        <w:tab/>
      </w:r>
      <w:r w:rsidR="005A48C8" w:rsidRPr="00D764AE">
        <w:rPr>
          <w:rFonts w:cs="Arial"/>
          <w:color w:val="000000" w:themeColor="text1"/>
          <w:sz w:val="24"/>
          <w:szCs w:val="24"/>
        </w:rPr>
        <w:t xml:space="preserve">The three Judge panel </w:t>
      </w:r>
      <w:r w:rsidR="000E17A8" w:rsidRPr="00D764AE">
        <w:rPr>
          <w:rFonts w:cs="Arial"/>
          <w:color w:val="000000" w:themeColor="text1"/>
          <w:sz w:val="24"/>
          <w:szCs w:val="24"/>
        </w:rPr>
        <w:t xml:space="preserve">(Tribunal of Commissioners in Northern Ireland) </w:t>
      </w:r>
      <w:r w:rsidR="005A48C8" w:rsidRPr="00D764AE">
        <w:rPr>
          <w:rFonts w:cs="Arial"/>
          <w:color w:val="000000" w:themeColor="text1"/>
          <w:sz w:val="24"/>
          <w:szCs w:val="24"/>
        </w:rPr>
        <w:t>held that the requirements imposed on the Secretary of State</w:t>
      </w:r>
      <w:r w:rsidR="000E17A8" w:rsidRPr="00D764AE">
        <w:rPr>
          <w:rFonts w:cs="Arial"/>
          <w:color w:val="000000" w:themeColor="text1"/>
          <w:sz w:val="24"/>
          <w:szCs w:val="24"/>
        </w:rPr>
        <w:t xml:space="preserve"> (Department)</w:t>
      </w:r>
      <w:r w:rsidR="005A48C8" w:rsidRPr="00D764AE">
        <w:rPr>
          <w:rFonts w:cs="Arial"/>
          <w:color w:val="000000" w:themeColor="text1"/>
          <w:sz w:val="24"/>
          <w:szCs w:val="24"/>
        </w:rPr>
        <w:t xml:space="preserve"> by previous case law</w:t>
      </w:r>
      <w:r w:rsidR="005A48C8" w:rsidRPr="00D764AE">
        <w:rPr>
          <w:rFonts w:cs="Arial"/>
          <w:color w:val="000000" w:themeColor="text1"/>
          <w:sz w:val="24"/>
          <w:szCs w:val="24"/>
          <w:vertAlign w:val="superscript"/>
        </w:rPr>
        <w:t>1</w:t>
      </w:r>
      <w:r w:rsidR="000E17A8" w:rsidRPr="00D764AE">
        <w:rPr>
          <w:rFonts w:cs="Arial"/>
          <w:color w:val="000000" w:themeColor="text1"/>
          <w:sz w:val="24"/>
          <w:szCs w:val="24"/>
          <w:vertAlign w:val="superscript"/>
        </w:rPr>
        <w:t xml:space="preserve"> </w:t>
      </w:r>
      <w:r w:rsidR="005A48C8" w:rsidRPr="00D764AE">
        <w:rPr>
          <w:rFonts w:cs="Arial"/>
          <w:color w:val="000000" w:themeColor="text1"/>
          <w:sz w:val="24"/>
          <w:szCs w:val="24"/>
        </w:rPr>
        <w:t xml:space="preserve">were binding and it was for the Secretary of State </w:t>
      </w:r>
      <w:r w:rsidR="000E17A8" w:rsidRPr="00D764AE">
        <w:rPr>
          <w:rFonts w:cs="Arial"/>
          <w:color w:val="000000" w:themeColor="text1"/>
          <w:sz w:val="24"/>
          <w:szCs w:val="24"/>
        </w:rPr>
        <w:t xml:space="preserve">(Department) </w:t>
      </w:r>
      <w:r w:rsidR="005A48C8" w:rsidRPr="00D764AE">
        <w:rPr>
          <w:rFonts w:cs="Arial"/>
          <w:color w:val="000000" w:themeColor="text1"/>
          <w:sz w:val="24"/>
          <w:szCs w:val="24"/>
        </w:rPr>
        <w:t xml:space="preserve">to ensure compliance with them. </w:t>
      </w:r>
    </w:p>
    <w:p w:rsidR="00DE58D4" w:rsidRPr="00D764AE" w:rsidRDefault="00DE58D4" w:rsidP="00DE58D4">
      <w:pPr>
        <w:pStyle w:val="MainNums"/>
        <w:numPr>
          <w:ilvl w:val="0"/>
          <w:numId w:val="0"/>
        </w:numPr>
        <w:tabs>
          <w:tab w:val="left" w:pos="567"/>
          <w:tab w:val="left" w:pos="1134"/>
          <w:tab w:val="left" w:pos="6237"/>
        </w:tabs>
        <w:spacing w:before="0" w:after="0" w:line="240" w:lineRule="auto"/>
        <w:rPr>
          <w:rFonts w:cs="Arial"/>
          <w:color w:val="000000" w:themeColor="text1"/>
          <w:sz w:val="24"/>
          <w:szCs w:val="24"/>
        </w:rPr>
      </w:pPr>
    </w:p>
    <w:p w:rsidR="005A48C8" w:rsidRDefault="005A48C8" w:rsidP="00D764AE">
      <w:pPr>
        <w:pStyle w:val="Legal"/>
        <w:tabs>
          <w:tab w:val="left" w:pos="567"/>
          <w:tab w:val="left" w:pos="1134"/>
          <w:tab w:val="left" w:pos="6237"/>
        </w:tabs>
        <w:spacing w:after="0" w:line="240" w:lineRule="auto"/>
        <w:rPr>
          <w:rFonts w:ascii="Arial" w:hAnsi="Arial" w:cs="Arial"/>
          <w:color w:val="000000" w:themeColor="text1"/>
          <w:szCs w:val="16"/>
        </w:rPr>
      </w:pPr>
      <w:r w:rsidRPr="00DE58D4">
        <w:rPr>
          <w:rFonts w:ascii="Arial" w:hAnsi="Arial" w:cs="Arial"/>
          <w:color w:val="000000" w:themeColor="text1"/>
          <w:szCs w:val="16"/>
        </w:rPr>
        <w:t>1 ST v SSWP (ESA) [2012] UKUT 469 (AAC)</w:t>
      </w:r>
    </w:p>
    <w:p w:rsidR="00DE58D4" w:rsidRPr="00DE58D4" w:rsidRDefault="00DE58D4" w:rsidP="00DE58D4">
      <w:pPr>
        <w:spacing w:after="0" w:line="240" w:lineRule="auto"/>
      </w:pPr>
    </w:p>
    <w:p w:rsidR="005A48C8" w:rsidRDefault="006D3339" w:rsidP="00DE58D4">
      <w:pPr>
        <w:pStyle w:val="MainNums"/>
        <w:numPr>
          <w:ilvl w:val="0"/>
          <w:numId w:val="0"/>
        </w:numPr>
        <w:tabs>
          <w:tab w:val="left" w:pos="567"/>
          <w:tab w:val="left" w:pos="1134"/>
          <w:tab w:val="left" w:pos="6237"/>
        </w:tabs>
        <w:spacing w:before="0" w:after="0" w:line="240" w:lineRule="auto"/>
        <w:ind w:left="567" w:hanging="567"/>
        <w:rPr>
          <w:rFonts w:cs="Arial"/>
          <w:color w:val="000000" w:themeColor="text1"/>
          <w:sz w:val="24"/>
          <w:szCs w:val="24"/>
        </w:rPr>
      </w:pPr>
      <w:r>
        <w:rPr>
          <w:rFonts w:cs="Arial"/>
          <w:color w:val="000000" w:themeColor="text1"/>
          <w:sz w:val="24"/>
          <w:szCs w:val="24"/>
        </w:rPr>
        <w:lastRenderedPageBreak/>
        <w:t>11</w:t>
      </w:r>
      <w:r w:rsidR="00DE58D4">
        <w:rPr>
          <w:rFonts w:cs="Arial"/>
          <w:color w:val="000000" w:themeColor="text1"/>
          <w:sz w:val="24"/>
          <w:szCs w:val="24"/>
        </w:rPr>
        <w:tab/>
      </w:r>
      <w:r w:rsidR="005A48C8" w:rsidRPr="00D764AE">
        <w:rPr>
          <w:rFonts w:cs="Arial"/>
          <w:color w:val="000000" w:themeColor="text1"/>
          <w:sz w:val="24"/>
          <w:szCs w:val="24"/>
        </w:rPr>
        <w:t xml:space="preserve">The duties and obligations that apply to the </w:t>
      </w:r>
      <w:r w:rsidR="0013063B" w:rsidRPr="00D764AE">
        <w:rPr>
          <w:rFonts w:cs="Arial"/>
          <w:color w:val="000000" w:themeColor="text1"/>
          <w:sz w:val="24"/>
          <w:szCs w:val="24"/>
        </w:rPr>
        <w:t xml:space="preserve">Department </w:t>
      </w:r>
      <w:r w:rsidR="005A48C8" w:rsidRPr="00D764AE">
        <w:rPr>
          <w:rFonts w:cs="Arial"/>
          <w:color w:val="000000" w:themeColor="text1"/>
          <w:sz w:val="24"/>
          <w:szCs w:val="24"/>
        </w:rPr>
        <w:t xml:space="preserve">also apply to appellants and representatives. Representatives have to be proactive in alerting </w:t>
      </w:r>
      <w:r w:rsidR="0013063B" w:rsidRPr="00D764AE">
        <w:rPr>
          <w:rFonts w:cs="Arial"/>
          <w:color w:val="000000" w:themeColor="text1"/>
          <w:sz w:val="24"/>
          <w:szCs w:val="24"/>
        </w:rPr>
        <w:t>Tribunal</w:t>
      </w:r>
      <w:r w:rsidR="005A48C8" w:rsidRPr="00D764AE">
        <w:rPr>
          <w:rFonts w:cs="Arial"/>
          <w:color w:val="000000" w:themeColor="text1"/>
          <w:sz w:val="24"/>
          <w:szCs w:val="24"/>
        </w:rPr>
        <w:t>s to evidence which it is submitted is relevant to the issues arising in the appeal and where it is possible to do so to seek that evidence on behalf of appellants.</w:t>
      </w:r>
      <w:r w:rsidR="0013063B" w:rsidRPr="00D764AE">
        <w:rPr>
          <w:rFonts w:cs="Arial"/>
          <w:color w:val="000000" w:themeColor="text1"/>
          <w:sz w:val="24"/>
          <w:szCs w:val="24"/>
        </w:rPr>
        <w:t xml:space="preserve"> </w:t>
      </w:r>
    </w:p>
    <w:p w:rsidR="00DE58D4" w:rsidRDefault="00DE58D4">
      <w:pPr>
        <w:spacing w:after="160" w:line="259" w:lineRule="auto"/>
        <w:rPr>
          <w:rFonts w:cs="Arial"/>
          <w:b/>
          <w:caps/>
          <w:color w:val="000000" w:themeColor="text1"/>
          <w:sz w:val="24"/>
        </w:rPr>
      </w:pPr>
    </w:p>
    <w:p w:rsidR="005A48C8" w:rsidRDefault="00DE58D4" w:rsidP="00D764AE">
      <w:pPr>
        <w:pStyle w:val="Topic"/>
        <w:tabs>
          <w:tab w:val="left" w:pos="567"/>
          <w:tab w:val="left" w:pos="1134"/>
          <w:tab w:val="left" w:pos="6237"/>
        </w:tabs>
        <w:spacing w:before="0" w:after="0" w:line="240" w:lineRule="auto"/>
        <w:rPr>
          <w:rFonts w:cs="Arial"/>
          <w:color w:val="000000" w:themeColor="text1"/>
          <w:szCs w:val="24"/>
        </w:rPr>
      </w:pPr>
      <w:r>
        <w:rPr>
          <w:rFonts w:cs="Arial"/>
          <w:color w:val="000000" w:themeColor="text1"/>
          <w:szCs w:val="24"/>
        </w:rPr>
        <w:tab/>
      </w:r>
      <w:r w:rsidR="005A48C8" w:rsidRPr="00D764AE">
        <w:rPr>
          <w:rFonts w:cs="Arial"/>
          <w:color w:val="000000" w:themeColor="text1"/>
          <w:szCs w:val="24"/>
        </w:rPr>
        <w:t xml:space="preserve">The </w:t>
      </w:r>
      <w:r w:rsidR="0013063B" w:rsidRPr="00D764AE">
        <w:rPr>
          <w:rFonts w:cs="Arial"/>
          <w:color w:val="000000" w:themeColor="text1"/>
          <w:szCs w:val="24"/>
        </w:rPr>
        <w:t>Tribunal</w:t>
      </w:r>
      <w:r w:rsidR="005A48C8" w:rsidRPr="00D764AE">
        <w:rPr>
          <w:rFonts w:cs="Arial"/>
          <w:color w:val="000000" w:themeColor="text1"/>
          <w:szCs w:val="24"/>
        </w:rPr>
        <w:t>’s duty</w:t>
      </w:r>
    </w:p>
    <w:p w:rsidR="00DE58D4" w:rsidRPr="00DE58D4" w:rsidRDefault="00DE58D4" w:rsidP="00DE58D4">
      <w:pPr>
        <w:pStyle w:val="MainNums"/>
        <w:numPr>
          <w:ilvl w:val="0"/>
          <w:numId w:val="0"/>
        </w:numPr>
        <w:spacing w:before="0" w:after="0" w:line="240" w:lineRule="auto"/>
      </w:pPr>
    </w:p>
    <w:p w:rsidR="005A48C8" w:rsidRDefault="006D3339" w:rsidP="00DE58D4">
      <w:pPr>
        <w:pStyle w:val="MainNums"/>
        <w:numPr>
          <w:ilvl w:val="0"/>
          <w:numId w:val="0"/>
        </w:numPr>
        <w:tabs>
          <w:tab w:val="left" w:pos="567"/>
          <w:tab w:val="left" w:pos="1134"/>
          <w:tab w:val="left" w:pos="6237"/>
        </w:tabs>
        <w:spacing w:before="0" w:after="0" w:line="240" w:lineRule="auto"/>
        <w:ind w:left="567" w:hanging="567"/>
        <w:rPr>
          <w:rFonts w:cs="Arial"/>
          <w:color w:val="000000" w:themeColor="text1"/>
          <w:sz w:val="24"/>
          <w:szCs w:val="24"/>
        </w:rPr>
      </w:pPr>
      <w:r>
        <w:rPr>
          <w:rFonts w:cs="Arial"/>
          <w:color w:val="000000" w:themeColor="text1"/>
          <w:sz w:val="24"/>
          <w:szCs w:val="24"/>
        </w:rPr>
        <w:t>12</w:t>
      </w:r>
      <w:r w:rsidR="00DE58D4">
        <w:rPr>
          <w:rFonts w:cs="Arial"/>
          <w:color w:val="000000" w:themeColor="text1"/>
          <w:sz w:val="24"/>
          <w:szCs w:val="24"/>
        </w:rPr>
        <w:tab/>
      </w:r>
      <w:r w:rsidR="005A48C8" w:rsidRPr="00D764AE">
        <w:rPr>
          <w:rFonts w:cs="Arial"/>
          <w:color w:val="000000" w:themeColor="text1"/>
          <w:sz w:val="24"/>
          <w:szCs w:val="24"/>
        </w:rPr>
        <w:t xml:space="preserve">Where the </w:t>
      </w:r>
      <w:r w:rsidR="0013063B" w:rsidRPr="00D764AE">
        <w:rPr>
          <w:rFonts w:cs="Arial"/>
          <w:color w:val="000000" w:themeColor="text1"/>
          <w:sz w:val="24"/>
          <w:szCs w:val="24"/>
        </w:rPr>
        <w:t xml:space="preserve">Department </w:t>
      </w:r>
      <w:r w:rsidR="005A48C8" w:rsidRPr="00D764AE">
        <w:rPr>
          <w:rFonts w:cs="Arial"/>
          <w:color w:val="000000" w:themeColor="text1"/>
          <w:sz w:val="24"/>
          <w:szCs w:val="24"/>
        </w:rPr>
        <w:t>does not fulfil the obligations imposed by case law</w:t>
      </w:r>
      <w:r w:rsidR="005A48C8" w:rsidRPr="00D764AE">
        <w:rPr>
          <w:rFonts w:cs="Arial"/>
          <w:color w:val="000000" w:themeColor="text1"/>
          <w:sz w:val="24"/>
          <w:szCs w:val="24"/>
          <w:vertAlign w:val="superscript"/>
        </w:rPr>
        <w:t>1</w:t>
      </w:r>
      <w:r w:rsidR="005A48C8" w:rsidRPr="00D764AE">
        <w:rPr>
          <w:rFonts w:cs="Arial"/>
          <w:color w:val="000000" w:themeColor="text1"/>
          <w:sz w:val="24"/>
          <w:szCs w:val="24"/>
        </w:rPr>
        <w:t xml:space="preserve">, the three-Judge panel held that the </w:t>
      </w:r>
      <w:r w:rsidR="0013063B" w:rsidRPr="00D764AE">
        <w:rPr>
          <w:rFonts w:cs="Arial"/>
          <w:color w:val="000000" w:themeColor="text1"/>
          <w:sz w:val="24"/>
          <w:szCs w:val="24"/>
        </w:rPr>
        <w:t>Tribunal</w:t>
      </w:r>
      <w:r w:rsidR="005A48C8" w:rsidRPr="00D764AE">
        <w:rPr>
          <w:rFonts w:cs="Arial"/>
          <w:color w:val="000000" w:themeColor="text1"/>
          <w:sz w:val="24"/>
          <w:szCs w:val="24"/>
        </w:rPr>
        <w:t xml:space="preserve"> is entitled to call on whatever evidence it considers</w:t>
      </w:r>
      <w:r w:rsidR="0013063B" w:rsidRPr="00D764AE">
        <w:rPr>
          <w:rFonts w:cs="Arial"/>
          <w:color w:val="000000" w:themeColor="text1"/>
          <w:sz w:val="24"/>
          <w:szCs w:val="24"/>
        </w:rPr>
        <w:t xml:space="preserve"> </w:t>
      </w:r>
      <w:r w:rsidR="005A48C8" w:rsidRPr="00D764AE">
        <w:rPr>
          <w:rFonts w:cs="Arial"/>
          <w:b/>
          <w:color w:val="000000" w:themeColor="text1"/>
          <w:sz w:val="24"/>
          <w:szCs w:val="24"/>
        </w:rPr>
        <w:t>relevant</w:t>
      </w:r>
      <w:r w:rsidR="005A48C8" w:rsidRPr="00D764AE">
        <w:rPr>
          <w:rFonts w:cs="Arial"/>
          <w:color w:val="000000" w:themeColor="text1"/>
          <w:sz w:val="24"/>
          <w:szCs w:val="24"/>
        </w:rPr>
        <w:t xml:space="preserve"> to the proper determination of the issues arising in the appeal. They held that it was not necessary, </w:t>
      </w:r>
      <w:r w:rsidR="005A48C8" w:rsidRPr="00D764AE">
        <w:rPr>
          <w:rFonts w:cs="Arial"/>
          <w:b/>
          <w:color w:val="000000" w:themeColor="text1"/>
          <w:sz w:val="24"/>
          <w:szCs w:val="24"/>
        </w:rPr>
        <w:t>as a matter of law</w:t>
      </w:r>
      <w:r w:rsidR="005A48C8" w:rsidRPr="00D764AE">
        <w:rPr>
          <w:rFonts w:cs="Arial"/>
          <w:color w:val="000000" w:themeColor="text1"/>
          <w:sz w:val="24"/>
          <w:szCs w:val="24"/>
        </w:rPr>
        <w:t xml:space="preserve">, for the </w:t>
      </w:r>
      <w:r w:rsidR="0013063B" w:rsidRPr="00D764AE">
        <w:rPr>
          <w:rFonts w:cs="Arial"/>
          <w:color w:val="000000" w:themeColor="text1"/>
          <w:sz w:val="24"/>
          <w:szCs w:val="24"/>
        </w:rPr>
        <w:t>Tribunal</w:t>
      </w:r>
      <w:r w:rsidR="005A48C8" w:rsidRPr="00D764AE">
        <w:rPr>
          <w:rFonts w:cs="Arial"/>
          <w:color w:val="000000" w:themeColor="text1"/>
          <w:sz w:val="24"/>
          <w:szCs w:val="24"/>
        </w:rPr>
        <w:t xml:space="preserve"> to have considered the evidence of a claimant’s previous assessment for </w:t>
      </w:r>
      <w:r w:rsidR="0013063B" w:rsidRPr="00D764AE">
        <w:rPr>
          <w:rFonts w:cs="Arial"/>
          <w:color w:val="000000" w:themeColor="text1"/>
          <w:sz w:val="24"/>
          <w:szCs w:val="24"/>
        </w:rPr>
        <w:t>Limited Capability for Work</w:t>
      </w:r>
      <w:r w:rsidR="005A48C8" w:rsidRPr="00D764AE">
        <w:rPr>
          <w:rFonts w:cs="Arial"/>
          <w:color w:val="000000" w:themeColor="text1"/>
          <w:sz w:val="24"/>
          <w:szCs w:val="24"/>
        </w:rPr>
        <w:t xml:space="preserve"> in every case. The case law</w:t>
      </w:r>
      <w:r w:rsidR="005A48C8" w:rsidRPr="00D764AE">
        <w:rPr>
          <w:rFonts w:cs="Arial"/>
          <w:color w:val="000000" w:themeColor="text1"/>
          <w:sz w:val="24"/>
          <w:szCs w:val="24"/>
          <w:vertAlign w:val="superscript"/>
        </w:rPr>
        <w:t>1</w:t>
      </w:r>
      <w:r w:rsidR="005A48C8" w:rsidRPr="00D764AE">
        <w:rPr>
          <w:rFonts w:cs="Arial"/>
          <w:color w:val="000000" w:themeColor="text1"/>
          <w:sz w:val="24"/>
          <w:szCs w:val="24"/>
        </w:rPr>
        <w:t xml:space="preserve"> only applies to the duties and responsibilities of the </w:t>
      </w:r>
      <w:r w:rsidR="0013063B" w:rsidRPr="00D764AE">
        <w:rPr>
          <w:rFonts w:cs="Arial"/>
          <w:color w:val="000000" w:themeColor="text1"/>
          <w:sz w:val="24"/>
          <w:szCs w:val="24"/>
        </w:rPr>
        <w:t>Department</w:t>
      </w:r>
      <w:r w:rsidR="005A48C8" w:rsidRPr="00D764AE">
        <w:rPr>
          <w:rFonts w:cs="Arial"/>
          <w:color w:val="000000" w:themeColor="text1"/>
          <w:sz w:val="24"/>
          <w:szCs w:val="24"/>
        </w:rPr>
        <w:t xml:space="preserve"> in preparing a response in an </w:t>
      </w:r>
      <w:r w:rsidR="0013063B" w:rsidRPr="00D764AE">
        <w:rPr>
          <w:rFonts w:cs="Arial"/>
          <w:color w:val="000000" w:themeColor="text1"/>
          <w:sz w:val="24"/>
          <w:szCs w:val="24"/>
        </w:rPr>
        <w:t>Employment and Support Allowance</w:t>
      </w:r>
      <w:r w:rsidR="005A48C8" w:rsidRPr="00D764AE">
        <w:rPr>
          <w:rFonts w:cs="Arial"/>
          <w:color w:val="000000" w:themeColor="text1"/>
          <w:sz w:val="24"/>
          <w:szCs w:val="24"/>
        </w:rPr>
        <w:t xml:space="preserve"> or </w:t>
      </w:r>
      <w:r w:rsidR="0013063B" w:rsidRPr="00D764AE">
        <w:rPr>
          <w:rFonts w:cs="Arial"/>
          <w:color w:val="000000" w:themeColor="text1"/>
          <w:sz w:val="24"/>
          <w:szCs w:val="24"/>
        </w:rPr>
        <w:t>Universal Credi</w:t>
      </w:r>
      <w:r w:rsidR="00264BAB" w:rsidRPr="00D764AE">
        <w:rPr>
          <w:rFonts w:cs="Arial"/>
          <w:color w:val="000000" w:themeColor="text1"/>
          <w:sz w:val="24"/>
          <w:szCs w:val="24"/>
        </w:rPr>
        <w:t>t</w:t>
      </w:r>
      <w:r w:rsidR="005A48C8" w:rsidRPr="00D764AE">
        <w:rPr>
          <w:rFonts w:cs="Arial"/>
          <w:color w:val="000000" w:themeColor="text1"/>
          <w:sz w:val="24"/>
          <w:szCs w:val="24"/>
        </w:rPr>
        <w:t xml:space="preserve"> supersession appeal. There is no suggestion that the </w:t>
      </w:r>
      <w:r w:rsidR="0013063B" w:rsidRPr="00D764AE">
        <w:rPr>
          <w:rFonts w:cs="Arial"/>
          <w:color w:val="000000" w:themeColor="text1"/>
          <w:sz w:val="24"/>
          <w:szCs w:val="24"/>
        </w:rPr>
        <w:t>Tribunal</w:t>
      </w:r>
      <w:r w:rsidR="005A48C8" w:rsidRPr="00D764AE">
        <w:rPr>
          <w:rFonts w:cs="Arial"/>
          <w:color w:val="000000" w:themeColor="text1"/>
          <w:sz w:val="24"/>
          <w:szCs w:val="24"/>
        </w:rPr>
        <w:t xml:space="preserve"> would always be found to have erred in law where the </w:t>
      </w:r>
      <w:r w:rsidR="0013063B" w:rsidRPr="00D764AE">
        <w:rPr>
          <w:rFonts w:cs="Arial"/>
          <w:color w:val="000000" w:themeColor="text1"/>
          <w:sz w:val="24"/>
          <w:szCs w:val="24"/>
        </w:rPr>
        <w:t xml:space="preserve">Department </w:t>
      </w:r>
      <w:r w:rsidR="005A48C8" w:rsidRPr="00D764AE">
        <w:rPr>
          <w:rFonts w:cs="Arial"/>
          <w:color w:val="000000" w:themeColor="text1"/>
          <w:sz w:val="24"/>
          <w:szCs w:val="24"/>
        </w:rPr>
        <w:t>fails to provide documentation following an assertion that the claimant’s medical condition was unchanged.</w:t>
      </w:r>
      <w:r w:rsidR="0013063B" w:rsidRPr="00D764AE">
        <w:rPr>
          <w:rFonts w:cs="Arial"/>
          <w:color w:val="000000" w:themeColor="text1"/>
          <w:sz w:val="24"/>
          <w:szCs w:val="24"/>
        </w:rPr>
        <w:t xml:space="preserve">   </w:t>
      </w:r>
    </w:p>
    <w:p w:rsidR="00DE58D4" w:rsidRPr="00D764AE" w:rsidRDefault="00DE58D4" w:rsidP="00DE58D4">
      <w:pPr>
        <w:pStyle w:val="MainNums"/>
        <w:numPr>
          <w:ilvl w:val="0"/>
          <w:numId w:val="0"/>
        </w:numPr>
        <w:tabs>
          <w:tab w:val="left" w:pos="567"/>
          <w:tab w:val="left" w:pos="1134"/>
          <w:tab w:val="left" w:pos="6237"/>
        </w:tabs>
        <w:spacing w:before="0" w:after="0" w:line="240" w:lineRule="auto"/>
        <w:rPr>
          <w:rFonts w:cs="Arial"/>
          <w:color w:val="000000" w:themeColor="text1"/>
          <w:sz w:val="24"/>
          <w:szCs w:val="24"/>
        </w:rPr>
      </w:pPr>
    </w:p>
    <w:p w:rsidR="005A48C8" w:rsidRDefault="005A48C8" w:rsidP="00D764AE">
      <w:pPr>
        <w:pStyle w:val="Legal"/>
        <w:tabs>
          <w:tab w:val="left" w:pos="567"/>
          <w:tab w:val="left" w:pos="1134"/>
          <w:tab w:val="left" w:pos="6237"/>
        </w:tabs>
        <w:spacing w:after="0" w:line="240" w:lineRule="auto"/>
        <w:rPr>
          <w:rFonts w:ascii="Arial" w:hAnsi="Arial" w:cs="Arial"/>
          <w:color w:val="000000" w:themeColor="text1"/>
          <w:szCs w:val="16"/>
        </w:rPr>
      </w:pPr>
      <w:r w:rsidRPr="00DE58D4">
        <w:rPr>
          <w:rFonts w:ascii="Arial" w:hAnsi="Arial" w:cs="Arial"/>
          <w:color w:val="000000" w:themeColor="text1"/>
          <w:szCs w:val="16"/>
        </w:rPr>
        <w:t>1 ST v SSWP (ESA) [2012] UKUT 469 (AAC)</w:t>
      </w:r>
    </w:p>
    <w:p w:rsidR="00DE58D4" w:rsidRPr="00DE58D4" w:rsidRDefault="00DE58D4" w:rsidP="00DE58D4">
      <w:pPr>
        <w:spacing w:after="0" w:line="240" w:lineRule="auto"/>
      </w:pPr>
    </w:p>
    <w:p w:rsidR="005A48C8" w:rsidRDefault="00DE58D4" w:rsidP="00D764AE">
      <w:pPr>
        <w:pStyle w:val="Topic"/>
        <w:tabs>
          <w:tab w:val="left" w:pos="567"/>
          <w:tab w:val="left" w:pos="1134"/>
          <w:tab w:val="left" w:pos="6237"/>
        </w:tabs>
        <w:spacing w:before="0" w:after="0" w:line="240" w:lineRule="auto"/>
        <w:rPr>
          <w:rFonts w:cs="Arial"/>
          <w:color w:val="000000" w:themeColor="text1"/>
          <w:szCs w:val="24"/>
        </w:rPr>
      </w:pPr>
      <w:r>
        <w:rPr>
          <w:rFonts w:cs="Arial"/>
          <w:color w:val="000000" w:themeColor="text1"/>
          <w:szCs w:val="24"/>
        </w:rPr>
        <w:tab/>
      </w:r>
      <w:r w:rsidR="005A48C8" w:rsidRPr="00D764AE">
        <w:rPr>
          <w:rFonts w:cs="Arial"/>
          <w:color w:val="000000" w:themeColor="text1"/>
          <w:szCs w:val="24"/>
        </w:rPr>
        <w:t>Annotations</w:t>
      </w:r>
    </w:p>
    <w:p w:rsidR="00DE58D4" w:rsidRPr="00DE58D4" w:rsidRDefault="00DE58D4" w:rsidP="00DE58D4">
      <w:pPr>
        <w:pStyle w:val="MainNums"/>
        <w:numPr>
          <w:ilvl w:val="0"/>
          <w:numId w:val="0"/>
        </w:numPr>
        <w:spacing w:before="0" w:after="0" w:line="240" w:lineRule="auto"/>
      </w:pPr>
    </w:p>
    <w:p w:rsidR="005A48C8" w:rsidRDefault="00DE58D4" w:rsidP="00DE58D4">
      <w:pPr>
        <w:pStyle w:val="MainNums"/>
        <w:numPr>
          <w:ilvl w:val="0"/>
          <w:numId w:val="0"/>
        </w:numPr>
        <w:tabs>
          <w:tab w:val="left" w:pos="567"/>
          <w:tab w:val="left" w:pos="1134"/>
          <w:tab w:val="left" w:pos="6237"/>
        </w:tabs>
        <w:spacing w:before="0" w:after="0" w:line="240" w:lineRule="auto"/>
        <w:ind w:left="567" w:hanging="567"/>
        <w:rPr>
          <w:rFonts w:cs="Arial"/>
          <w:color w:val="000000" w:themeColor="text1"/>
          <w:sz w:val="24"/>
          <w:szCs w:val="24"/>
        </w:rPr>
      </w:pPr>
      <w:r>
        <w:rPr>
          <w:rFonts w:cs="Arial"/>
          <w:color w:val="000000" w:themeColor="text1"/>
          <w:sz w:val="24"/>
          <w:szCs w:val="24"/>
        </w:rPr>
        <w:tab/>
      </w:r>
      <w:r w:rsidR="005A48C8" w:rsidRPr="00D764AE">
        <w:rPr>
          <w:rFonts w:cs="Arial"/>
          <w:color w:val="000000" w:themeColor="text1"/>
          <w:sz w:val="24"/>
          <w:szCs w:val="24"/>
        </w:rPr>
        <w:t>Please annotate the number of this memo (</w:t>
      </w:r>
      <w:r w:rsidR="00D764AE" w:rsidRPr="00D764AE">
        <w:rPr>
          <w:rFonts w:cs="Arial"/>
          <w:color w:val="000000" w:themeColor="text1"/>
          <w:sz w:val="24"/>
          <w:szCs w:val="24"/>
        </w:rPr>
        <w:t>11/17</w:t>
      </w:r>
      <w:r w:rsidR="005A48C8" w:rsidRPr="00D764AE">
        <w:rPr>
          <w:rFonts w:cs="Arial"/>
          <w:color w:val="000000" w:themeColor="text1"/>
          <w:sz w:val="24"/>
          <w:szCs w:val="24"/>
        </w:rPr>
        <w:t>) against ADM paragraph A5333</w:t>
      </w:r>
    </w:p>
    <w:p w:rsidR="00DE58D4" w:rsidRPr="00D764AE" w:rsidRDefault="00DE58D4" w:rsidP="00D764AE">
      <w:pPr>
        <w:pStyle w:val="MainNums"/>
        <w:numPr>
          <w:ilvl w:val="0"/>
          <w:numId w:val="0"/>
        </w:numPr>
        <w:tabs>
          <w:tab w:val="left" w:pos="567"/>
          <w:tab w:val="left" w:pos="1134"/>
          <w:tab w:val="left" w:pos="6237"/>
        </w:tabs>
        <w:spacing w:before="0" w:after="0" w:line="240" w:lineRule="auto"/>
        <w:rPr>
          <w:rFonts w:cs="Arial"/>
          <w:color w:val="000000" w:themeColor="text1"/>
          <w:sz w:val="24"/>
          <w:szCs w:val="24"/>
        </w:rPr>
      </w:pPr>
    </w:p>
    <w:p w:rsidR="001703AF" w:rsidRDefault="00DE58D4" w:rsidP="00D764AE">
      <w:pPr>
        <w:pStyle w:val="Topic"/>
        <w:tabs>
          <w:tab w:val="left" w:pos="567"/>
          <w:tab w:val="left" w:pos="1134"/>
          <w:tab w:val="left" w:pos="6237"/>
        </w:tabs>
        <w:spacing w:before="0" w:after="0" w:line="240" w:lineRule="auto"/>
        <w:rPr>
          <w:rFonts w:cs="Arial"/>
          <w:color w:val="000000" w:themeColor="text1"/>
          <w:szCs w:val="24"/>
        </w:rPr>
      </w:pPr>
      <w:r>
        <w:rPr>
          <w:rFonts w:cs="Arial"/>
          <w:color w:val="000000" w:themeColor="text1"/>
          <w:szCs w:val="24"/>
        </w:rPr>
        <w:tab/>
      </w:r>
      <w:r w:rsidR="005A48C8" w:rsidRPr="00D764AE">
        <w:rPr>
          <w:rFonts w:cs="Arial"/>
          <w:color w:val="000000" w:themeColor="text1"/>
          <w:szCs w:val="24"/>
        </w:rPr>
        <w:t>Contacts</w:t>
      </w:r>
    </w:p>
    <w:p w:rsidR="00DE58D4" w:rsidRPr="00DE58D4" w:rsidRDefault="00DE58D4" w:rsidP="00DE58D4">
      <w:pPr>
        <w:pStyle w:val="MainNums"/>
        <w:numPr>
          <w:ilvl w:val="0"/>
          <w:numId w:val="0"/>
        </w:numPr>
        <w:spacing w:before="0" w:after="0"/>
      </w:pPr>
    </w:p>
    <w:p w:rsidR="001703AF" w:rsidRDefault="00DE58D4" w:rsidP="00D764AE">
      <w:pPr>
        <w:pStyle w:val="MainNums"/>
        <w:numPr>
          <w:ilvl w:val="0"/>
          <w:numId w:val="0"/>
        </w:numPr>
        <w:tabs>
          <w:tab w:val="left" w:pos="567"/>
          <w:tab w:val="left" w:pos="1134"/>
          <w:tab w:val="left" w:pos="6237"/>
        </w:tabs>
        <w:spacing w:before="0" w:after="0" w:line="240" w:lineRule="auto"/>
        <w:rPr>
          <w:rFonts w:cs="Arial"/>
          <w:color w:val="000000" w:themeColor="text1"/>
          <w:sz w:val="24"/>
          <w:szCs w:val="24"/>
        </w:rPr>
      </w:pPr>
      <w:r>
        <w:rPr>
          <w:rFonts w:cs="Arial"/>
          <w:color w:val="000000" w:themeColor="text1"/>
          <w:sz w:val="24"/>
          <w:szCs w:val="24"/>
        </w:rPr>
        <w:tab/>
      </w:r>
      <w:r w:rsidR="001703AF" w:rsidRPr="00D764AE">
        <w:rPr>
          <w:rFonts w:cs="Arial"/>
          <w:color w:val="000000" w:themeColor="text1"/>
          <w:sz w:val="24"/>
          <w:szCs w:val="24"/>
        </w:rPr>
        <w:t>If you have any queries about this memo, please write to:</w:t>
      </w:r>
    </w:p>
    <w:p w:rsidR="00DE58D4" w:rsidRPr="00D764AE" w:rsidRDefault="00DE58D4" w:rsidP="00D764AE">
      <w:pPr>
        <w:pStyle w:val="MainNums"/>
        <w:numPr>
          <w:ilvl w:val="0"/>
          <w:numId w:val="0"/>
        </w:numPr>
        <w:tabs>
          <w:tab w:val="left" w:pos="567"/>
          <w:tab w:val="left" w:pos="1134"/>
          <w:tab w:val="left" w:pos="6237"/>
        </w:tabs>
        <w:spacing w:before="0" w:after="0" w:line="240" w:lineRule="auto"/>
        <w:rPr>
          <w:rFonts w:cs="Arial"/>
          <w:color w:val="000000" w:themeColor="text1"/>
          <w:sz w:val="24"/>
          <w:szCs w:val="24"/>
        </w:rPr>
      </w:pPr>
    </w:p>
    <w:p w:rsidR="001703AF" w:rsidRPr="00D764AE" w:rsidRDefault="00DE58D4" w:rsidP="00D764AE">
      <w:pPr>
        <w:pStyle w:val="Topic"/>
        <w:tabs>
          <w:tab w:val="left" w:pos="567"/>
          <w:tab w:val="left" w:pos="1134"/>
          <w:tab w:val="left" w:pos="6237"/>
        </w:tabs>
        <w:spacing w:before="0" w:after="0" w:line="240" w:lineRule="auto"/>
        <w:rPr>
          <w:rFonts w:cs="Arial"/>
          <w:color w:val="000000" w:themeColor="text1"/>
          <w:szCs w:val="24"/>
        </w:rPr>
      </w:pPr>
      <w:r>
        <w:rPr>
          <w:rFonts w:cs="Arial"/>
          <w:color w:val="000000" w:themeColor="text1"/>
          <w:szCs w:val="24"/>
        </w:rPr>
        <w:tab/>
      </w:r>
      <w:r w:rsidR="001703AF" w:rsidRPr="00D764AE">
        <w:rPr>
          <w:rFonts w:cs="Arial"/>
          <w:color w:val="000000" w:themeColor="text1"/>
          <w:szCs w:val="24"/>
        </w:rPr>
        <w:t>Decision Making Services</w:t>
      </w:r>
    </w:p>
    <w:p w:rsidR="001703AF" w:rsidRPr="00D764AE" w:rsidRDefault="00DE58D4" w:rsidP="00D764AE">
      <w:pPr>
        <w:tabs>
          <w:tab w:val="left" w:pos="0"/>
          <w:tab w:val="left" w:pos="567"/>
          <w:tab w:val="left" w:pos="1134"/>
          <w:tab w:val="left" w:pos="1701"/>
          <w:tab w:val="left" w:pos="6237"/>
        </w:tabs>
        <w:spacing w:after="0" w:line="240" w:lineRule="auto"/>
        <w:rPr>
          <w:rFonts w:cs="Arial"/>
          <w:color w:val="000000" w:themeColor="text1"/>
          <w:sz w:val="24"/>
        </w:rPr>
      </w:pPr>
      <w:r>
        <w:rPr>
          <w:rFonts w:cs="Arial"/>
          <w:color w:val="000000" w:themeColor="text1"/>
          <w:sz w:val="24"/>
        </w:rPr>
        <w:tab/>
      </w:r>
      <w:r w:rsidR="001703AF" w:rsidRPr="00D764AE">
        <w:rPr>
          <w:rFonts w:cs="Arial"/>
          <w:color w:val="000000" w:themeColor="text1"/>
          <w:sz w:val="24"/>
        </w:rPr>
        <w:t>5</w:t>
      </w:r>
      <w:r w:rsidR="001703AF" w:rsidRPr="00D764AE">
        <w:rPr>
          <w:rFonts w:cs="Arial"/>
          <w:color w:val="000000" w:themeColor="text1"/>
          <w:sz w:val="24"/>
          <w:vertAlign w:val="superscript"/>
        </w:rPr>
        <w:t>th</w:t>
      </w:r>
      <w:r w:rsidR="001703AF" w:rsidRPr="00D764AE">
        <w:rPr>
          <w:rFonts w:cs="Arial"/>
          <w:color w:val="000000" w:themeColor="text1"/>
          <w:sz w:val="24"/>
        </w:rPr>
        <w:t xml:space="preserve"> Floor</w:t>
      </w:r>
    </w:p>
    <w:p w:rsidR="001703AF" w:rsidRPr="00D764AE" w:rsidRDefault="00DE58D4" w:rsidP="00D764AE">
      <w:pPr>
        <w:tabs>
          <w:tab w:val="left" w:pos="567"/>
          <w:tab w:val="left" w:pos="1134"/>
          <w:tab w:val="left" w:pos="1701"/>
          <w:tab w:val="left" w:pos="6237"/>
        </w:tabs>
        <w:spacing w:after="0" w:line="240" w:lineRule="auto"/>
        <w:rPr>
          <w:rFonts w:cs="Arial"/>
          <w:color w:val="000000" w:themeColor="text1"/>
          <w:sz w:val="24"/>
        </w:rPr>
      </w:pPr>
      <w:r>
        <w:rPr>
          <w:rFonts w:cs="Arial"/>
          <w:color w:val="000000" w:themeColor="text1"/>
          <w:sz w:val="24"/>
        </w:rPr>
        <w:tab/>
      </w:r>
      <w:r w:rsidR="001703AF" w:rsidRPr="00D764AE">
        <w:rPr>
          <w:rFonts w:cs="Arial"/>
          <w:color w:val="000000" w:themeColor="text1"/>
          <w:sz w:val="24"/>
        </w:rPr>
        <w:t>Lighthouse Building</w:t>
      </w:r>
    </w:p>
    <w:p w:rsidR="001703AF" w:rsidRPr="00D764AE" w:rsidRDefault="00DE58D4" w:rsidP="00D764AE">
      <w:pPr>
        <w:tabs>
          <w:tab w:val="left" w:pos="567"/>
          <w:tab w:val="left" w:pos="1134"/>
          <w:tab w:val="left" w:pos="1701"/>
          <w:tab w:val="left" w:pos="6237"/>
        </w:tabs>
        <w:spacing w:after="0" w:line="240" w:lineRule="auto"/>
        <w:rPr>
          <w:rFonts w:cs="Arial"/>
          <w:color w:val="000000" w:themeColor="text1"/>
          <w:sz w:val="24"/>
        </w:rPr>
      </w:pPr>
      <w:r>
        <w:rPr>
          <w:rFonts w:cs="Arial"/>
          <w:color w:val="000000" w:themeColor="text1"/>
          <w:sz w:val="24"/>
        </w:rPr>
        <w:tab/>
      </w:r>
      <w:r w:rsidR="001703AF" w:rsidRPr="00D764AE">
        <w:rPr>
          <w:rFonts w:cs="Arial"/>
          <w:color w:val="000000" w:themeColor="text1"/>
          <w:sz w:val="24"/>
        </w:rPr>
        <w:t xml:space="preserve">1 </w:t>
      </w:r>
      <w:proofErr w:type="spellStart"/>
      <w:r w:rsidR="001703AF" w:rsidRPr="00D764AE">
        <w:rPr>
          <w:rFonts w:cs="Arial"/>
          <w:color w:val="000000" w:themeColor="text1"/>
          <w:sz w:val="24"/>
        </w:rPr>
        <w:t>Cromac</w:t>
      </w:r>
      <w:proofErr w:type="spellEnd"/>
      <w:r w:rsidR="001703AF" w:rsidRPr="00D764AE">
        <w:rPr>
          <w:rFonts w:cs="Arial"/>
          <w:color w:val="000000" w:themeColor="text1"/>
          <w:sz w:val="24"/>
        </w:rPr>
        <w:t xml:space="preserve"> Place</w:t>
      </w:r>
    </w:p>
    <w:p w:rsidR="001703AF" w:rsidRPr="00D764AE" w:rsidRDefault="00DE58D4" w:rsidP="00D764AE">
      <w:pPr>
        <w:tabs>
          <w:tab w:val="left" w:pos="567"/>
          <w:tab w:val="left" w:pos="1134"/>
          <w:tab w:val="left" w:pos="1701"/>
          <w:tab w:val="left" w:pos="6237"/>
        </w:tabs>
        <w:spacing w:after="0" w:line="240" w:lineRule="auto"/>
        <w:rPr>
          <w:rFonts w:cs="Arial"/>
          <w:color w:val="000000" w:themeColor="text1"/>
          <w:sz w:val="24"/>
        </w:rPr>
      </w:pPr>
      <w:r>
        <w:rPr>
          <w:rFonts w:cs="Arial"/>
          <w:color w:val="000000" w:themeColor="text1"/>
          <w:sz w:val="24"/>
        </w:rPr>
        <w:tab/>
      </w:r>
      <w:r w:rsidR="001703AF" w:rsidRPr="00D764AE">
        <w:rPr>
          <w:rFonts w:cs="Arial"/>
          <w:color w:val="000000" w:themeColor="text1"/>
          <w:sz w:val="24"/>
        </w:rPr>
        <w:t>Belfast</w:t>
      </w:r>
    </w:p>
    <w:p w:rsidR="001703AF" w:rsidRPr="00D764AE" w:rsidRDefault="00DE58D4" w:rsidP="00D764AE">
      <w:pPr>
        <w:tabs>
          <w:tab w:val="left" w:pos="567"/>
          <w:tab w:val="left" w:pos="1134"/>
          <w:tab w:val="left" w:pos="1701"/>
          <w:tab w:val="left" w:pos="6237"/>
        </w:tabs>
        <w:spacing w:after="0" w:line="240" w:lineRule="auto"/>
        <w:rPr>
          <w:rFonts w:cs="Arial"/>
          <w:color w:val="000000" w:themeColor="text1"/>
          <w:sz w:val="24"/>
        </w:rPr>
      </w:pPr>
      <w:r>
        <w:rPr>
          <w:rFonts w:cs="Arial"/>
          <w:color w:val="000000" w:themeColor="text1"/>
          <w:sz w:val="24"/>
        </w:rPr>
        <w:tab/>
      </w:r>
      <w:r w:rsidR="001703AF" w:rsidRPr="00D764AE">
        <w:rPr>
          <w:rFonts w:cs="Arial"/>
          <w:color w:val="000000" w:themeColor="text1"/>
          <w:sz w:val="24"/>
        </w:rPr>
        <w:t>BT7 2JB</w:t>
      </w:r>
    </w:p>
    <w:p w:rsidR="001703AF" w:rsidRPr="00D764AE" w:rsidRDefault="001703AF" w:rsidP="00D764AE">
      <w:pPr>
        <w:tabs>
          <w:tab w:val="left" w:pos="567"/>
          <w:tab w:val="left" w:pos="1134"/>
          <w:tab w:val="left" w:pos="1701"/>
          <w:tab w:val="left" w:pos="6237"/>
        </w:tabs>
        <w:spacing w:after="0" w:line="240" w:lineRule="auto"/>
        <w:rPr>
          <w:rFonts w:cs="Arial"/>
          <w:color w:val="000000" w:themeColor="text1"/>
          <w:sz w:val="24"/>
        </w:rPr>
      </w:pPr>
    </w:p>
    <w:p w:rsidR="001703AF" w:rsidRPr="00D764AE" w:rsidRDefault="00DE58D4" w:rsidP="00D764AE">
      <w:pPr>
        <w:tabs>
          <w:tab w:val="left" w:pos="567"/>
          <w:tab w:val="left" w:pos="1134"/>
          <w:tab w:val="left" w:pos="1701"/>
          <w:tab w:val="left" w:pos="6237"/>
        </w:tabs>
        <w:spacing w:after="0" w:line="240" w:lineRule="auto"/>
        <w:rPr>
          <w:rFonts w:cs="Arial"/>
          <w:color w:val="000000" w:themeColor="text1"/>
          <w:sz w:val="24"/>
        </w:rPr>
      </w:pPr>
      <w:r>
        <w:rPr>
          <w:rFonts w:cs="Arial"/>
          <w:color w:val="000000" w:themeColor="text1"/>
          <w:sz w:val="24"/>
        </w:rPr>
        <w:tab/>
      </w:r>
      <w:r w:rsidR="001703AF" w:rsidRPr="00D764AE">
        <w:rPr>
          <w:rFonts w:cs="Arial"/>
          <w:color w:val="000000" w:themeColor="text1"/>
          <w:sz w:val="24"/>
        </w:rPr>
        <w:t>Telephone:  (028) 90 829513</w:t>
      </w:r>
    </w:p>
    <w:p w:rsidR="001703AF" w:rsidRPr="00D764AE" w:rsidRDefault="00DE58D4" w:rsidP="00D764AE">
      <w:pPr>
        <w:tabs>
          <w:tab w:val="left" w:pos="567"/>
          <w:tab w:val="left" w:pos="1134"/>
          <w:tab w:val="left" w:pos="1701"/>
          <w:tab w:val="left" w:pos="6237"/>
        </w:tabs>
        <w:spacing w:after="0" w:line="240" w:lineRule="auto"/>
        <w:rPr>
          <w:rFonts w:cs="Arial"/>
          <w:color w:val="000000" w:themeColor="text1"/>
          <w:sz w:val="24"/>
        </w:rPr>
      </w:pPr>
      <w:r>
        <w:rPr>
          <w:rFonts w:cs="Arial"/>
          <w:color w:val="000000" w:themeColor="text1"/>
          <w:sz w:val="24"/>
        </w:rPr>
        <w:tab/>
      </w:r>
      <w:r w:rsidR="001703AF" w:rsidRPr="00D764AE">
        <w:rPr>
          <w:rFonts w:cs="Arial"/>
          <w:color w:val="000000" w:themeColor="text1"/>
          <w:sz w:val="24"/>
        </w:rPr>
        <w:t>Ext:  38513</w:t>
      </w:r>
    </w:p>
    <w:p w:rsidR="001703AF" w:rsidRPr="00D764AE" w:rsidRDefault="001703AF" w:rsidP="00D764AE">
      <w:pPr>
        <w:tabs>
          <w:tab w:val="left" w:pos="567"/>
          <w:tab w:val="left" w:pos="1134"/>
          <w:tab w:val="left" w:pos="1701"/>
          <w:tab w:val="left" w:pos="6237"/>
          <w:tab w:val="left" w:pos="6804"/>
        </w:tabs>
        <w:spacing w:after="0" w:line="240" w:lineRule="auto"/>
        <w:rPr>
          <w:rFonts w:cs="Arial"/>
          <w:color w:val="000000" w:themeColor="text1"/>
          <w:sz w:val="24"/>
        </w:rPr>
      </w:pPr>
    </w:p>
    <w:p w:rsidR="001703AF" w:rsidRPr="00D764AE" w:rsidRDefault="001703AF" w:rsidP="00D764AE">
      <w:pPr>
        <w:tabs>
          <w:tab w:val="left" w:pos="567"/>
          <w:tab w:val="left" w:pos="1134"/>
          <w:tab w:val="left" w:pos="1701"/>
          <w:tab w:val="left" w:pos="6237"/>
          <w:tab w:val="left" w:pos="6804"/>
        </w:tabs>
        <w:spacing w:after="0" w:line="240" w:lineRule="auto"/>
        <w:rPr>
          <w:rFonts w:cs="Arial"/>
          <w:color w:val="000000" w:themeColor="text1"/>
          <w:sz w:val="24"/>
        </w:rPr>
      </w:pPr>
    </w:p>
    <w:p w:rsidR="001703AF" w:rsidRPr="00D764AE" w:rsidRDefault="001703AF" w:rsidP="00D764AE">
      <w:pPr>
        <w:tabs>
          <w:tab w:val="left" w:pos="567"/>
          <w:tab w:val="left" w:pos="1134"/>
          <w:tab w:val="left" w:pos="1701"/>
          <w:tab w:val="left" w:pos="6237"/>
          <w:tab w:val="left" w:pos="6804"/>
        </w:tabs>
        <w:spacing w:after="0" w:line="240" w:lineRule="auto"/>
        <w:rPr>
          <w:rFonts w:cs="Arial"/>
          <w:color w:val="000000" w:themeColor="text1"/>
          <w:sz w:val="24"/>
        </w:rPr>
      </w:pPr>
    </w:p>
    <w:p w:rsidR="001703AF" w:rsidRPr="00D764AE" w:rsidRDefault="00DE58D4" w:rsidP="00D764AE">
      <w:pPr>
        <w:tabs>
          <w:tab w:val="left" w:pos="567"/>
          <w:tab w:val="left" w:pos="1134"/>
          <w:tab w:val="left" w:pos="1701"/>
          <w:tab w:val="left" w:pos="4111"/>
          <w:tab w:val="left" w:pos="4820"/>
          <w:tab w:val="left" w:pos="6237"/>
          <w:tab w:val="left" w:pos="6804"/>
        </w:tabs>
        <w:spacing w:after="0" w:line="240" w:lineRule="auto"/>
        <w:rPr>
          <w:rFonts w:cs="Arial"/>
          <w:b/>
          <w:color w:val="000000" w:themeColor="text1"/>
          <w:sz w:val="24"/>
        </w:rPr>
      </w:pPr>
      <w:r>
        <w:rPr>
          <w:rFonts w:cs="Arial"/>
          <w:b/>
          <w:color w:val="000000" w:themeColor="text1"/>
          <w:sz w:val="24"/>
        </w:rPr>
        <w:tab/>
      </w:r>
      <w:r w:rsidR="001703AF" w:rsidRPr="00D764AE">
        <w:rPr>
          <w:rFonts w:cs="Arial"/>
          <w:b/>
          <w:color w:val="000000" w:themeColor="text1"/>
          <w:sz w:val="24"/>
        </w:rPr>
        <w:t>DECISION MAKING SERVICES</w:t>
      </w:r>
      <w:r>
        <w:rPr>
          <w:rFonts w:cs="Arial"/>
          <w:b/>
          <w:color w:val="000000" w:themeColor="text1"/>
          <w:sz w:val="24"/>
        </w:rPr>
        <w:tab/>
      </w:r>
      <w:r>
        <w:rPr>
          <w:rFonts w:cs="Arial"/>
          <w:b/>
          <w:color w:val="000000" w:themeColor="text1"/>
          <w:sz w:val="24"/>
        </w:rPr>
        <w:tab/>
      </w:r>
      <w:r>
        <w:rPr>
          <w:rFonts w:cs="Arial"/>
          <w:b/>
          <w:color w:val="000000" w:themeColor="text1"/>
          <w:sz w:val="24"/>
        </w:rPr>
        <w:tab/>
      </w:r>
      <w:r w:rsidR="001703AF" w:rsidRPr="00D764AE">
        <w:rPr>
          <w:rFonts w:cs="Arial"/>
          <w:b/>
          <w:color w:val="000000" w:themeColor="text1"/>
          <w:sz w:val="24"/>
        </w:rPr>
        <w:t xml:space="preserve">Distribution: </w:t>
      </w:r>
    </w:p>
    <w:p w:rsidR="001703AF" w:rsidRPr="00D764AE" w:rsidRDefault="001703AF" w:rsidP="00D764AE">
      <w:pPr>
        <w:tabs>
          <w:tab w:val="left" w:pos="567"/>
          <w:tab w:val="left" w:pos="1134"/>
          <w:tab w:val="left" w:pos="4536"/>
          <w:tab w:val="left" w:pos="6237"/>
          <w:tab w:val="left" w:pos="6804"/>
        </w:tabs>
        <w:spacing w:after="0" w:line="240" w:lineRule="auto"/>
        <w:rPr>
          <w:rFonts w:cs="Arial"/>
          <w:b/>
          <w:color w:val="000000" w:themeColor="text1"/>
          <w:sz w:val="24"/>
        </w:rPr>
      </w:pPr>
      <w:r w:rsidRPr="00D764AE">
        <w:rPr>
          <w:rFonts w:cs="Arial"/>
          <w:b/>
          <w:color w:val="000000" w:themeColor="text1"/>
          <w:sz w:val="24"/>
        </w:rPr>
        <w:tab/>
      </w:r>
      <w:r w:rsidRPr="00D764AE">
        <w:rPr>
          <w:rFonts w:cs="Arial"/>
          <w:b/>
          <w:color w:val="000000" w:themeColor="text1"/>
          <w:sz w:val="24"/>
        </w:rPr>
        <w:tab/>
      </w:r>
      <w:r w:rsidRPr="00D764AE">
        <w:rPr>
          <w:rFonts w:cs="Arial"/>
          <w:b/>
          <w:color w:val="000000" w:themeColor="text1"/>
          <w:sz w:val="24"/>
        </w:rPr>
        <w:tab/>
      </w:r>
      <w:r w:rsidR="00DE58D4">
        <w:rPr>
          <w:rFonts w:cs="Arial"/>
          <w:b/>
          <w:color w:val="000000" w:themeColor="text1"/>
          <w:sz w:val="24"/>
        </w:rPr>
        <w:tab/>
      </w:r>
      <w:r w:rsidRPr="00D764AE">
        <w:rPr>
          <w:rFonts w:cs="Arial"/>
          <w:b/>
          <w:color w:val="000000" w:themeColor="text1"/>
          <w:sz w:val="24"/>
        </w:rPr>
        <w:t>All holders of ADM</w:t>
      </w:r>
    </w:p>
    <w:p w:rsidR="001703AF" w:rsidRPr="00D764AE" w:rsidRDefault="00DE58D4" w:rsidP="00D764AE">
      <w:pPr>
        <w:tabs>
          <w:tab w:val="left" w:pos="567"/>
          <w:tab w:val="left" w:pos="1134"/>
          <w:tab w:val="left" w:pos="6237"/>
          <w:tab w:val="left" w:pos="6804"/>
        </w:tabs>
        <w:spacing w:after="0" w:line="240" w:lineRule="auto"/>
        <w:ind w:firstLine="4536"/>
        <w:rPr>
          <w:rFonts w:cs="Arial"/>
          <w:b/>
          <w:color w:val="000000" w:themeColor="text1"/>
          <w:sz w:val="24"/>
        </w:rPr>
      </w:pPr>
      <w:r>
        <w:rPr>
          <w:rFonts w:cs="Arial"/>
          <w:b/>
          <w:color w:val="000000" w:themeColor="text1"/>
          <w:sz w:val="24"/>
        </w:rPr>
        <w:tab/>
      </w:r>
      <w:r w:rsidR="001703AF" w:rsidRPr="00D764AE">
        <w:rPr>
          <w:rFonts w:cs="Arial"/>
          <w:b/>
          <w:color w:val="000000" w:themeColor="text1"/>
          <w:sz w:val="24"/>
        </w:rPr>
        <w:t>Chapter A</w:t>
      </w:r>
      <w:r w:rsidR="00694DBA" w:rsidRPr="00D764AE">
        <w:rPr>
          <w:rFonts w:cs="Arial"/>
          <w:b/>
          <w:color w:val="000000" w:themeColor="text1"/>
          <w:sz w:val="24"/>
        </w:rPr>
        <w:t>5</w:t>
      </w:r>
    </w:p>
    <w:p w:rsidR="001703AF" w:rsidRPr="00D764AE" w:rsidRDefault="001703AF" w:rsidP="00D764AE">
      <w:pPr>
        <w:tabs>
          <w:tab w:val="left" w:pos="567"/>
          <w:tab w:val="left" w:pos="1134"/>
          <w:tab w:val="left" w:pos="1701"/>
          <w:tab w:val="left" w:pos="6237"/>
          <w:tab w:val="left" w:pos="6804"/>
        </w:tabs>
        <w:spacing w:after="0" w:line="240" w:lineRule="auto"/>
        <w:rPr>
          <w:rFonts w:cs="Arial"/>
          <w:b/>
          <w:color w:val="000000" w:themeColor="text1"/>
          <w:sz w:val="24"/>
        </w:rPr>
      </w:pPr>
    </w:p>
    <w:p w:rsidR="001703AF" w:rsidRPr="00D764AE" w:rsidRDefault="00DE58D4" w:rsidP="00D764AE">
      <w:pPr>
        <w:tabs>
          <w:tab w:val="left" w:pos="567"/>
          <w:tab w:val="left" w:pos="1134"/>
          <w:tab w:val="left" w:pos="6237"/>
          <w:tab w:val="left" w:pos="6804"/>
        </w:tabs>
        <w:spacing w:after="0" w:line="240" w:lineRule="auto"/>
        <w:jc w:val="both"/>
        <w:rPr>
          <w:rFonts w:cs="Arial"/>
          <w:color w:val="000000" w:themeColor="text1"/>
          <w:sz w:val="24"/>
        </w:rPr>
      </w:pPr>
      <w:r>
        <w:rPr>
          <w:rFonts w:cs="Arial"/>
          <w:b/>
          <w:color w:val="000000" w:themeColor="text1"/>
          <w:sz w:val="24"/>
        </w:rPr>
        <w:tab/>
      </w:r>
      <w:r w:rsidR="00DF1D1A" w:rsidRPr="00D764AE">
        <w:rPr>
          <w:rFonts w:cs="Arial"/>
          <w:b/>
          <w:color w:val="000000" w:themeColor="text1"/>
          <w:sz w:val="24"/>
        </w:rPr>
        <w:t>October</w:t>
      </w:r>
      <w:r w:rsidR="001703AF" w:rsidRPr="00D764AE">
        <w:rPr>
          <w:rFonts w:cs="Arial"/>
          <w:b/>
          <w:color w:val="000000" w:themeColor="text1"/>
          <w:sz w:val="24"/>
        </w:rPr>
        <w:t xml:space="preserve"> 2017</w:t>
      </w:r>
    </w:p>
    <w:p w:rsidR="002A7E7D" w:rsidRPr="00D764AE" w:rsidRDefault="00DC0F46" w:rsidP="00D764AE">
      <w:pPr>
        <w:tabs>
          <w:tab w:val="left" w:pos="567"/>
          <w:tab w:val="left" w:pos="1134"/>
          <w:tab w:val="left" w:pos="6237"/>
        </w:tabs>
        <w:spacing w:after="0" w:line="240" w:lineRule="auto"/>
        <w:rPr>
          <w:rFonts w:cs="Arial"/>
          <w:color w:val="000000" w:themeColor="text1"/>
          <w:sz w:val="24"/>
        </w:rPr>
      </w:pPr>
    </w:p>
    <w:sectPr w:rsidR="002A7E7D" w:rsidRPr="00D764AE" w:rsidSect="00D764AE">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5D367F"/>
    <w:multiLevelType w:val="hybridMultilevel"/>
    <w:tmpl w:val="24A2A7D2"/>
    <w:lvl w:ilvl="0" w:tplc="96A823FA">
      <w:start w:val="1"/>
      <w:numFmt w:val="decimal"/>
      <w:pStyle w:val="MainNums"/>
      <w:lvlText w:val="%1"/>
      <w:lvlJc w:val="left"/>
      <w:pPr>
        <w:tabs>
          <w:tab w:val="num" w:pos="0"/>
        </w:tabs>
        <w:ind w:left="0" w:hanging="567"/>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8C4"/>
    <w:rsid w:val="00074A23"/>
    <w:rsid w:val="000E17A8"/>
    <w:rsid w:val="0013063B"/>
    <w:rsid w:val="001703AF"/>
    <w:rsid w:val="001E1059"/>
    <w:rsid w:val="00264BAB"/>
    <w:rsid w:val="00422EF9"/>
    <w:rsid w:val="005A48C8"/>
    <w:rsid w:val="005E3D70"/>
    <w:rsid w:val="00661E66"/>
    <w:rsid w:val="00694DBA"/>
    <w:rsid w:val="006D3339"/>
    <w:rsid w:val="00786599"/>
    <w:rsid w:val="00793A23"/>
    <w:rsid w:val="00975458"/>
    <w:rsid w:val="00B43B2C"/>
    <w:rsid w:val="00BC7B51"/>
    <w:rsid w:val="00C138C4"/>
    <w:rsid w:val="00C90CC6"/>
    <w:rsid w:val="00C91B90"/>
    <w:rsid w:val="00CC2F51"/>
    <w:rsid w:val="00CD4DB8"/>
    <w:rsid w:val="00CE69E9"/>
    <w:rsid w:val="00D764AE"/>
    <w:rsid w:val="00DC0F46"/>
    <w:rsid w:val="00DE58D4"/>
    <w:rsid w:val="00DF1D1A"/>
    <w:rsid w:val="00E96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C8843-D164-4128-8E9B-ED7BFAD50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8C8"/>
    <w:pPr>
      <w:spacing w:after="240" w:line="36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5A48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
    <w:name w:val="Legal"/>
    <w:basedOn w:val="Normal"/>
    <w:next w:val="Normal"/>
    <w:qFormat/>
    <w:rsid w:val="005A48C8"/>
    <w:pPr>
      <w:jc w:val="right"/>
    </w:pPr>
    <w:rPr>
      <w:rFonts w:ascii="Times New Roman" w:hAnsi="Times New Roman"/>
      <w:i/>
      <w:sz w:val="16"/>
      <w:szCs w:val="20"/>
    </w:rPr>
  </w:style>
  <w:style w:type="paragraph" w:styleId="List">
    <w:name w:val="List"/>
    <w:basedOn w:val="Normal"/>
    <w:qFormat/>
    <w:rsid w:val="005A48C8"/>
    <w:pPr>
      <w:tabs>
        <w:tab w:val="left" w:pos="6237"/>
      </w:tabs>
      <w:spacing w:after="120"/>
    </w:pPr>
    <w:rPr>
      <w:szCs w:val="20"/>
    </w:rPr>
  </w:style>
  <w:style w:type="paragraph" w:customStyle="1" w:styleId="MainNums">
    <w:name w:val="Main Nums"/>
    <w:basedOn w:val="Heading1"/>
    <w:qFormat/>
    <w:rsid w:val="005A48C8"/>
    <w:pPr>
      <w:keepNext w:val="0"/>
      <w:keepLines w:val="0"/>
      <w:numPr>
        <w:numId w:val="1"/>
      </w:numPr>
      <w:tabs>
        <w:tab w:val="clear" w:pos="0"/>
        <w:tab w:val="num" w:pos="360"/>
      </w:tabs>
      <w:spacing w:after="240"/>
      <w:ind w:firstLine="0"/>
      <w:outlineLvl w:val="9"/>
    </w:pPr>
    <w:rPr>
      <w:rFonts w:ascii="Arial" w:eastAsia="Times New Roman" w:hAnsi="Arial" w:cs="Times New Roman"/>
      <w:color w:val="auto"/>
      <w:kern w:val="28"/>
      <w:sz w:val="20"/>
      <w:szCs w:val="20"/>
    </w:rPr>
  </w:style>
  <w:style w:type="paragraph" w:customStyle="1" w:styleId="toc">
    <w:name w:val="toc"/>
    <w:basedOn w:val="TOC1"/>
    <w:qFormat/>
    <w:rsid w:val="005A48C8"/>
    <w:pPr>
      <w:tabs>
        <w:tab w:val="left" w:pos="6237"/>
      </w:tabs>
      <w:spacing w:after="120"/>
    </w:pPr>
    <w:rPr>
      <w:b/>
      <w:sz w:val="24"/>
    </w:rPr>
  </w:style>
  <w:style w:type="paragraph" w:customStyle="1" w:styleId="Title1">
    <w:name w:val="Title1"/>
    <w:basedOn w:val="Normal"/>
    <w:next w:val="Normal"/>
    <w:qFormat/>
    <w:rsid w:val="005A48C8"/>
    <w:pPr>
      <w:spacing w:before="480" w:after="480"/>
    </w:pPr>
    <w:rPr>
      <w:b/>
      <w:caps/>
      <w:sz w:val="28"/>
      <w:szCs w:val="20"/>
    </w:rPr>
  </w:style>
  <w:style w:type="paragraph" w:customStyle="1" w:styleId="Topic">
    <w:name w:val="Topic"/>
    <w:basedOn w:val="Normal"/>
    <w:next w:val="MainNums"/>
    <w:qFormat/>
    <w:rsid w:val="005A48C8"/>
    <w:pPr>
      <w:spacing w:before="480"/>
    </w:pPr>
    <w:rPr>
      <w:b/>
      <w:caps/>
      <w:sz w:val="24"/>
      <w:szCs w:val="20"/>
    </w:rPr>
  </w:style>
  <w:style w:type="paragraph" w:customStyle="1" w:styleId="Head">
    <w:name w:val="Head"/>
    <w:basedOn w:val="Normal"/>
    <w:next w:val="Normal"/>
    <w:qFormat/>
    <w:rsid w:val="005A48C8"/>
    <w:pPr>
      <w:tabs>
        <w:tab w:val="right" w:pos="7655"/>
      </w:tabs>
      <w:jc w:val="right"/>
    </w:pPr>
    <w:rPr>
      <w:b/>
      <w:sz w:val="28"/>
      <w:szCs w:val="20"/>
    </w:rPr>
  </w:style>
  <w:style w:type="paragraph" w:customStyle="1" w:styleId="NormalBold">
    <w:name w:val="Normal Bold"/>
    <w:basedOn w:val="Normal"/>
    <w:qFormat/>
    <w:rsid w:val="005A48C8"/>
    <w:pPr>
      <w:tabs>
        <w:tab w:val="left" w:pos="5640"/>
        <w:tab w:val="left" w:pos="10440"/>
      </w:tabs>
      <w:spacing w:before="240"/>
    </w:pPr>
    <w:rPr>
      <w:b/>
    </w:rPr>
  </w:style>
  <w:style w:type="character" w:styleId="Hyperlink">
    <w:name w:val="Hyperlink"/>
    <w:rsid w:val="005A48C8"/>
    <w:rPr>
      <w:color w:val="0000FF"/>
      <w:u w:val="single"/>
    </w:rPr>
  </w:style>
  <w:style w:type="character" w:customStyle="1" w:styleId="Heading1Char">
    <w:name w:val="Heading 1 Char"/>
    <w:basedOn w:val="DefaultParagraphFont"/>
    <w:link w:val="Heading1"/>
    <w:uiPriority w:val="9"/>
    <w:rsid w:val="005A48C8"/>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semiHidden/>
    <w:unhideWhenUsed/>
    <w:rsid w:val="005A48C8"/>
    <w:pPr>
      <w:spacing w:after="100"/>
    </w:pPr>
  </w:style>
  <w:style w:type="paragraph" w:styleId="BalloonText">
    <w:name w:val="Balloon Text"/>
    <w:basedOn w:val="Normal"/>
    <w:link w:val="BalloonTextChar"/>
    <w:uiPriority w:val="99"/>
    <w:semiHidden/>
    <w:unhideWhenUsed/>
    <w:rsid w:val="00694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DB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Smith</dc:creator>
  <cp:keywords/>
  <dc:description/>
  <cp:lastModifiedBy>Julie Spence</cp:lastModifiedBy>
  <cp:revision>4</cp:revision>
  <cp:lastPrinted>2017-10-12T13:54:00Z</cp:lastPrinted>
  <dcterms:created xsi:type="dcterms:W3CDTF">2017-10-06T15:04:00Z</dcterms:created>
  <dcterms:modified xsi:type="dcterms:W3CDTF">2017-10-12T13:56:00Z</dcterms:modified>
</cp:coreProperties>
</file>