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0B" w:rsidRDefault="00222049" w:rsidP="00AF630B">
      <w:pPr>
        <w:pStyle w:val="Head"/>
        <w:tabs>
          <w:tab w:val="left" w:pos="567"/>
          <w:tab w:val="left" w:pos="1134"/>
          <w:tab w:val="left" w:pos="1701"/>
          <w:tab w:val="left" w:pos="6237"/>
        </w:tabs>
        <w:spacing w:after="0" w:line="240" w:lineRule="auto"/>
      </w:pPr>
      <w:r>
        <w:t xml:space="preserve">ADM Memo </w:t>
      </w:r>
      <w:r w:rsidR="00824842">
        <w:t>10</w:t>
      </w:r>
      <w:r w:rsidR="00AF630B">
        <w:t>/19</w:t>
      </w:r>
    </w:p>
    <w:p w:rsidR="00AF630B" w:rsidRDefault="00AF630B" w:rsidP="00AF630B">
      <w:pPr>
        <w:pStyle w:val="Title1"/>
        <w:tabs>
          <w:tab w:val="left" w:pos="567"/>
          <w:tab w:val="left" w:pos="1134"/>
          <w:tab w:val="left" w:pos="1701"/>
          <w:tab w:val="left" w:pos="6237"/>
        </w:tabs>
        <w:spacing w:before="0" w:after="0" w:line="240" w:lineRule="auto"/>
        <w:rPr>
          <w:b w:val="0"/>
          <w:szCs w:val="28"/>
        </w:rPr>
      </w:pP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pStyle w:val="Title1"/>
        <w:tabs>
          <w:tab w:val="left" w:pos="567"/>
          <w:tab w:val="left" w:pos="1134"/>
          <w:tab w:val="left" w:pos="1701"/>
          <w:tab w:val="left" w:pos="6237"/>
        </w:tabs>
        <w:spacing w:before="0" w:after="0" w:line="240" w:lineRule="auto"/>
        <w:rPr>
          <w:b w:val="0"/>
          <w:szCs w:val="28"/>
        </w:rPr>
      </w:pPr>
    </w:p>
    <w:p w:rsidR="00AF630B" w:rsidRDefault="004647AF" w:rsidP="00AF630B">
      <w:pPr>
        <w:pStyle w:val="Title1"/>
        <w:tabs>
          <w:tab w:val="left" w:pos="567"/>
          <w:tab w:val="left" w:pos="1134"/>
          <w:tab w:val="left" w:pos="1701"/>
          <w:tab w:val="left" w:pos="6237"/>
        </w:tabs>
        <w:spacing w:before="0" w:after="0" w:line="240" w:lineRule="auto"/>
        <w:ind w:left="567" w:hanging="567"/>
      </w:pPr>
      <w:r>
        <w:tab/>
      </w:r>
      <w:r w:rsidR="00824842">
        <w:rPr>
          <w:rFonts w:cs="Arial"/>
          <w:bCs/>
          <w:szCs w:val="24"/>
          <w:lang w:eastAsia="en-GB"/>
        </w:rPr>
        <w:t xml:space="preserve">PERSONAL INDEPENDENCE PAYMENT DAILY LIVING COMPONENT </w:t>
      </w:r>
      <w:r w:rsidR="00824842" w:rsidRPr="00AD2B3C">
        <w:rPr>
          <w:szCs w:val="28"/>
        </w:rPr>
        <w:t xml:space="preserve">– EFFECT OF RECENT </w:t>
      </w:r>
      <w:r w:rsidR="00824842">
        <w:rPr>
          <w:szCs w:val="28"/>
        </w:rPr>
        <w:t>COURT OF APPEAL</w:t>
      </w:r>
      <w:r w:rsidR="00824842" w:rsidRPr="00AD2B3C">
        <w:rPr>
          <w:szCs w:val="28"/>
        </w:rPr>
        <w:t xml:space="preserve"> DECISION REGARDING THE PAST PRESENCE TEST AND </w:t>
      </w:r>
      <w:r w:rsidR="00824842">
        <w:rPr>
          <w:szCs w:val="28"/>
        </w:rPr>
        <w:t xml:space="preserve">A </w:t>
      </w:r>
      <w:r w:rsidR="00824842" w:rsidRPr="00AD2B3C">
        <w:rPr>
          <w:szCs w:val="28"/>
        </w:rPr>
        <w:t>G</w:t>
      </w:r>
      <w:r w:rsidR="00824842">
        <w:rPr>
          <w:szCs w:val="28"/>
        </w:rPr>
        <w:t xml:space="preserve">ENUINE AND </w:t>
      </w:r>
      <w:r w:rsidR="00824842" w:rsidRPr="00AD2B3C">
        <w:rPr>
          <w:szCs w:val="28"/>
        </w:rPr>
        <w:t>S</w:t>
      </w:r>
      <w:r w:rsidR="00824842">
        <w:rPr>
          <w:szCs w:val="28"/>
        </w:rPr>
        <w:t>UFFICIENT</w:t>
      </w:r>
      <w:r w:rsidR="006F4CA4">
        <w:rPr>
          <w:szCs w:val="28"/>
        </w:rPr>
        <w:t xml:space="preserve"> LINK</w:t>
      </w: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tabs>
          <w:tab w:val="left" w:pos="567"/>
          <w:tab w:val="left" w:pos="1134"/>
          <w:tab w:val="left" w:pos="1701"/>
          <w:tab w:val="left" w:pos="6237"/>
        </w:tabs>
        <w:spacing w:after="0" w:line="240" w:lineRule="auto"/>
        <w:rPr>
          <w:b/>
          <w:sz w:val="24"/>
        </w:rPr>
      </w:pPr>
      <w:r>
        <w:rPr>
          <w:b/>
          <w:sz w:val="24"/>
        </w:rPr>
        <w:tab/>
        <w:t>Contents</w:t>
      </w:r>
      <w:r>
        <w:rPr>
          <w:b/>
          <w:sz w:val="24"/>
        </w:rPr>
        <w:tab/>
      </w:r>
      <w:r>
        <w:rPr>
          <w:b/>
          <w:sz w:val="24"/>
        </w:rPr>
        <w:tab/>
        <w:t>Paragraphs</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pStyle w:val="List"/>
        <w:tabs>
          <w:tab w:val="left" w:pos="567"/>
          <w:tab w:val="left" w:pos="1134"/>
          <w:tab w:val="left" w:pos="1701"/>
        </w:tabs>
        <w:spacing w:after="0" w:line="240" w:lineRule="auto"/>
        <w:rPr>
          <w:sz w:val="24"/>
          <w:szCs w:val="24"/>
        </w:rPr>
      </w:pPr>
      <w:r>
        <w:rPr>
          <w:sz w:val="24"/>
          <w:szCs w:val="24"/>
        </w:rPr>
        <w:tab/>
        <w:t>Introduction</w:t>
      </w:r>
      <w:r>
        <w:rPr>
          <w:sz w:val="24"/>
          <w:szCs w:val="24"/>
        </w:rPr>
        <w:tab/>
        <w:t>1</w:t>
      </w:r>
    </w:p>
    <w:p w:rsidR="00AF630B" w:rsidRDefault="00AF630B" w:rsidP="00AF630B">
      <w:pPr>
        <w:tabs>
          <w:tab w:val="left" w:pos="567"/>
          <w:tab w:val="left" w:pos="1134"/>
          <w:tab w:val="left" w:pos="1701"/>
          <w:tab w:val="left" w:pos="6237"/>
        </w:tabs>
        <w:spacing w:after="0" w:line="240" w:lineRule="auto"/>
        <w:rPr>
          <w:sz w:val="24"/>
        </w:rPr>
      </w:pPr>
    </w:p>
    <w:p w:rsidR="00824842" w:rsidRDefault="00824842" w:rsidP="00AF630B">
      <w:pPr>
        <w:pStyle w:val="List"/>
        <w:tabs>
          <w:tab w:val="left" w:pos="567"/>
          <w:tab w:val="left" w:pos="1134"/>
          <w:tab w:val="left" w:pos="1701"/>
        </w:tabs>
        <w:spacing w:after="0" w:line="240" w:lineRule="auto"/>
        <w:rPr>
          <w:sz w:val="24"/>
        </w:rPr>
      </w:pPr>
      <w:r>
        <w:rPr>
          <w:sz w:val="24"/>
        </w:rPr>
        <w:tab/>
        <w:t>The Upper Tribunal decision</w:t>
      </w:r>
    </w:p>
    <w:p w:rsidR="00824842" w:rsidRDefault="00824842" w:rsidP="00AF630B">
      <w:pPr>
        <w:pStyle w:val="List"/>
        <w:tabs>
          <w:tab w:val="left" w:pos="567"/>
          <w:tab w:val="left" w:pos="1134"/>
          <w:tab w:val="left" w:pos="1701"/>
        </w:tabs>
        <w:spacing w:after="0" w:line="240" w:lineRule="auto"/>
        <w:rPr>
          <w:sz w:val="24"/>
        </w:rPr>
      </w:pPr>
    </w:p>
    <w:p w:rsidR="00AF630B" w:rsidRDefault="00AF630B" w:rsidP="00824842">
      <w:pPr>
        <w:pStyle w:val="List"/>
        <w:tabs>
          <w:tab w:val="left" w:pos="567"/>
          <w:tab w:val="left" w:pos="851"/>
          <w:tab w:val="left" w:pos="1701"/>
        </w:tabs>
        <w:spacing w:after="0" w:line="240" w:lineRule="auto"/>
        <w:rPr>
          <w:sz w:val="24"/>
          <w:szCs w:val="24"/>
        </w:rPr>
      </w:pPr>
      <w:r>
        <w:rPr>
          <w:sz w:val="24"/>
        </w:rPr>
        <w:tab/>
      </w:r>
      <w:r w:rsidR="00824842">
        <w:rPr>
          <w:sz w:val="24"/>
        </w:rPr>
        <w:tab/>
      </w:r>
      <w:r w:rsidR="00824842">
        <w:rPr>
          <w:sz w:val="24"/>
          <w:szCs w:val="24"/>
        </w:rPr>
        <w:t>Background</w:t>
      </w:r>
      <w:r w:rsidR="00824842">
        <w:rPr>
          <w:sz w:val="24"/>
          <w:szCs w:val="24"/>
        </w:rPr>
        <w:tab/>
        <w:t>2 – 4</w:t>
      </w:r>
    </w:p>
    <w:p w:rsidR="00824842" w:rsidRDefault="00824842" w:rsidP="00824842">
      <w:pPr>
        <w:pStyle w:val="List"/>
        <w:tabs>
          <w:tab w:val="left" w:pos="567"/>
          <w:tab w:val="left" w:pos="851"/>
          <w:tab w:val="left" w:pos="1701"/>
        </w:tabs>
        <w:spacing w:after="0" w:line="240" w:lineRule="auto"/>
        <w:rPr>
          <w:sz w:val="24"/>
          <w:szCs w:val="24"/>
        </w:rPr>
      </w:pPr>
    </w:p>
    <w:p w:rsidR="00824842" w:rsidRDefault="00824842" w:rsidP="00824842">
      <w:pPr>
        <w:pStyle w:val="List"/>
        <w:tabs>
          <w:tab w:val="left" w:pos="567"/>
          <w:tab w:val="left" w:pos="851"/>
          <w:tab w:val="left" w:pos="1701"/>
        </w:tabs>
        <w:spacing w:after="0" w:line="240" w:lineRule="auto"/>
        <w:rPr>
          <w:sz w:val="24"/>
          <w:szCs w:val="24"/>
        </w:rPr>
      </w:pPr>
      <w:r>
        <w:rPr>
          <w:sz w:val="24"/>
          <w:szCs w:val="24"/>
        </w:rPr>
        <w:tab/>
      </w:r>
      <w:r>
        <w:rPr>
          <w:sz w:val="24"/>
          <w:szCs w:val="24"/>
        </w:rPr>
        <w:tab/>
        <w:t>What the Upper Tribunal decided</w:t>
      </w:r>
      <w:r>
        <w:rPr>
          <w:sz w:val="24"/>
          <w:szCs w:val="24"/>
        </w:rPr>
        <w:tab/>
        <w:t>5 – 6</w:t>
      </w:r>
    </w:p>
    <w:p w:rsidR="00824842" w:rsidRDefault="00824842" w:rsidP="00824842">
      <w:pPr>
        <w:pStyle w:val="List"/>
        <w:tabs>
          <w:tab w:val="left" w:pos="567"/>
          <w:tab w:val="left" w:pos="851"/>
          <w:tab w:val="left" w:pos="1701"/>
        </w:tabs>
        <w:spacing w:after="0" w:line="240" w:lineRule="auto"/>
        <w:rPr>
          <w:sz w:val="24"/>
          <w:szCs w:val="24"/>
        </w:rPr>
      </w:pPr>
    </w:p>
    <w:p w:rsidR="00824842" w:rsidRDefault="00824842" w:rsidP="00824842">
      <w:pPr>
        <w:pStyle w:val="List"/>
        <w:tabs>
          <w:tab w:val="left" w:pos="567"/>
          <w:tab w:val="left" w:pos="851"/>
          <w:tab w:val="left" w:pos="1701"/>
        </w:tabs>
        <w:spacing w:after="0" w:line="240" w:lineRule="auto"/>
        <w:rPr>
          <w:sz w:val="24"/>
          <w:szCs w:val="24"/>
        </w:rPr>
      </w:pPr>
      <w:r>
        <w:rPr>
          <w:sz w:val="24"/>
          <w:szCs w:val="24"/>
        </w:rPr>
        <w:tab/>
        <w:t>The Court of Appeal decision</w:t>
      </w:r>
    </w:p>
    <w:p w:rsidR="00824842" w:rsidRDefault="00824842" w:rsidP="00824842">
      <w:pPr>
        <w:pStyle w:val="List"/>
        <w:tabs>
          <w:tab w:val="left" w:pos="567"/>
          <w:tab w:val="left" w:pos="851"/>
          <w:tab w:val="left" w:pos="1701"/>
        </w:tabs>
        <w:spacing w:after="0" w:line="240" w:lineRule="auto"/>
        <w:rPr>
          <w:sz w:val="24"/>
          <w:szCs w:val="24"/>
        </w:rPr>
      </w:pPr>
    </w:p>
    <w:p w:rsidR="00824842" w:rsidRDefault="00824842" w:rsidP="00824842">
      <w:pPr>
        <w:pStyle w:val="List"/>
        <w:tabs>
          <w:tab w:val="left" w:pos="567"/>
          <w:tab w:val="left" w:pos="851"/>
          <w:tab w:val="left" w:pos="1701"/>
        </w:tabs>
        <w:spacing w:after="0" w:line="240" w:lineRule="auto"/>
        <w:rPr>
          <w:sz w:val="24"/>
          <w:szCs w:val="24"/>
        </w:rPr>
      </w:pPr>
      <w:r>
        <w:rPr>
          <w:sz w:val="24"/>
          <w:szCs w:val="24"/>
        </w:rPr>
        <w:tab/>
      </w:r>
      <w:r>
        <w:rPr>
          <w:sz w:val="24"/>
          <w:szCs w:val="24"/>
        </w:rPr>
        <w:tab/>
        <w:t>What the Court of Appeal decided</w:t>
      </w:r>
      <w:r>
        <w:rPr>
          <w:sz w:val="24"/>
          <w:szCs w:val="24"/>
        </w:rPr>
        <w:tab/>
        <w:t>7 – 9</w:t>
      </w:r>
    </w:p>
    <w:p w:rsidR="00824842" w:rsidRDefault="00824842" w:rsidP="00824842">
      <w:pPr>
        <w:pStyle w:val="List"/>
        <w:tabs>
          <w:tab w:val="left" w:pos="567"/>
          <w:tab w:val="left" w:pos="851"/>
          <w:tab w:val="left" w:pos="1701"/>
        </w:tabs>
        <w:spacing w:after="0" w:line="240" w:lineRule="auto"/>
        <w:rPr>
          <w:sz w:val="24"/>
          <w:szCs w:val="24"/>
        </w:rPr>
      </w:pPr>
    </w:p>
    <w:p w:rsidR="00824842" w:rsidRDefault="00824842" w:rsidP="00824842">
      <w:pPr>
        <w:pStyle w:val="List"/>
        <w:tabs>
          <w:tab w:val="left" w:pos="567"/>
          <w:tab w:val="left" w:pos="851"/>
          <w:tab w:val="left" w:pos="1701"/>
        </w:tabs>
        <w:spacing w:after="0" w:line="240" w:lineRule="auto"/>
        <w:rPr>
          <w:sz w:val="24"/>
          <w:szCs w:val="24"/>
        </w:rPr>
      </w:pPr>
      <w:r>
        <w:rPr>
          <w:sz w:val="24"/>
          <w:szCs w:val="24"/>
        </w:rPr>
        <w:tab/>
      </w:r>
      <w:r>
        <w:rPr>
          <w:sz w:val="24"/>
          <w:szCs w:val="24"/>
        </w:rPr>
        <w:tab/>
        <w:t>Applying the decision of the Court of Appeal</w:t>
      </w:r>
      <w:r>
        <w:rPr>
          <w:sz w:val="24"/>
          <w:szCs w:val="24"/>
        </w:rPr>
        <w:tab/>
        <w:t>10</w:t>
      </w:r>
    </w:p>
    <w:p w:rsidR="00824842" w:rsidRDefault="00824842" w:rsidP="00824842">
      <w:pPr>
        <w:pStyle w:val="List"/>
        <w:tabs>
          <w:tab w:val="left" w:pos="567"/>
          <w:tab w:val="left" w:pos="851"/>
          <w:tab w:val="left" w:pos="1701"/>
        </w:tabs>
        <w:spacing w:after="0" w:line="240" w:lineRule="auto"/>
        <w:rPr>
          <w:sz w:val="24"/>
          <w:szCs w:val="24"/>
        </w:rPr>
      </w:pPr>
    </w:p>
    <w:p w:rsidR="00AF630B" w:rsidRDefault="00AF630B" w:rsidP="00AF630B">
      <w:pPr>
        <w:pStyle w:val="List"/>
        <w:tabs>
          <w:tab w:val="left" w:pos="567"/>
          <w:tab w:val="left" w:pos="1134"/>
          <w:tab w:val="left" w:pos="1701"/>
        </w:tabs>
        <w:spacing w:after="0" w:line="240" w:lineRule="auto"/>
        <w:rPr>
          <w:sz w:val="24"/>
          <w:szCs w:val="24"/>
        </w:rPr>
      </w:pPr>
      <w:r>
        <w:rPr>
          <w:sz w:val="24"/>
          <w:szCs w:val="24"/>
        </w:rPr>
        <w:tab/>
        <w:t>Annotations</w:t>
      </w:r>
    </w:p>
    <w:p w:rsidR="00AF630B" w:rsidRDefault="00AF630B" w:rsidP="00AF630B">
      <w:pPr>
        <w:pStyle w:val="List"/>
        <w:tabs>
          <w:tab w:val="left" w:pos="567"/>
          <w:tab w:val="left" w:pos="1134"/>
          <w:tab w:val="left" w:pos="1701"/>
        </w:tabs>
        <w:spacing w:after="0" w:line="240" w:lineRule="auto"/>
        <w:rPr>
          <w:sz w:val="24"/>
          <w:szCs w:val="24"/>
        </w:rPr>
      </w:pPr>
    </w:p>
    <w:p w:rsidR="00AF630B" w:rsidRDefault="00AF630B" w:rsidP="00AF630B">
      <w:pPr>
        <w:pStyle w:val="List"/>
        <w:tabs>
          <w:tab w:val="left" w:pos="567"/>
          <w:tab w:val="left" w:pos="1134"/>
          <w:tab w:val="left" w:pos="1701"/>
        </w:tabs>
        <w:spacing w:after="0" w:line="240" w:lineRule="auto"/>
        <w:rPr>
          <w:sz w:val="24"/>
          <w:szCs w:val="24"/>
        </w:rPr>
      </w:pPr>
      <w:r>
        <w:rPr>
          <w:sz w:val="24"/>
          <w:szCs w:val="24"/>
        </w:rPr>
        <w:tab/>
        <w:t>Contacts</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pStyle w:val="Topic"/>
        <w:tabs>
          <w:tab w:val="left" w:pos="567"/>
          <w:tab w:val="left" w:pos="1134"/>
          <w:tab w:val="left" w:pos="1701"/>
          <w:tab w:val="left" w:pos="6237"/>
        </w:tabs>
        <w:spacing w:before="0" w:after="0" w:line="240" w:lineRule="auto"/>
      </w:pPr>
      <w:r>
        <w:tab/>
        <w:t>Introduction</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493C6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1</w:t>
      </w:r>
      <w:r>
        <w:rPr>
          <w:sz w:val="24"/>
          <w:szCs w:val="24"/>
        </w:rPr>
        <w:tab/>
      </w:r>
      <w:r w:rsidR="00EB459F">
        <w:rPr>
          <w:sz w:val="24"/>
          <w:szCs w:val="24"/>
        </w:rPr>
        <w:t>Th</w:t>
      </w:r>
      <w:r w:rsidR="00824842">
        <w:rPr>
          <w:sz w:val="24"/>
          <w:szCs w:val="24"/>
        </w:rPr>
        <w:t>e purpose of this memo is to:</w:t>
      </w:r>
    </w:p>
    <w:p w:rsidR="00824842" w:rsidRDefault="00824842"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824842" w:rsidRPr="00297646" w:rsidRDefault="00824842" w:rsidP="00297646">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sz w:val="24"/>
          <w:szCs w:val="24"/>
        </w:rPr>
        <w:tab/>
      </w:r>
      <w:r w:rsidR="00297646">
        <w:rPr>
          <w:b/>
          <w:sz w:val="24"/>
          <w:szCs w:val="24"/>
        </w:rPr>
        <w:t>1.</w:t>
      </w:r>
      <w:r w:rsidR="00297646">
        <w:rPr>
          <w:sz w:val="24"/>
          <w:szCs w:val="24"/>
        </w:rPr>
        <w:tab/>
      </w:r>
      <w:r w:rsidR="00297646" w:rsidRPr="00297646">
        <w:rPr>
          <w:sz w:val="24"/>
          <w:szCs w:val="24"/>
        </w:rPr>
        <w:t>inform decision makers about a recent decision of the Court of Appeal</w:t>
      </w:r>
      <w:r w:rsidR="00297646" w:rsidRPr="00297646">
        <w:rPr>
          <w:sz w:val="24"/>
          <w:szCs w:val="24"/>
          <w:vertAlign w:val="superscript"/>
        </w:rPr>
        <w:t>1</w:t>
      </w:r>
      <w:r w:rsidR="00297646" w:rsidRPr="00297646">
        <w:rPr>
          <w:sz w:val="24"/>
          <w:szCs w:val="24"/>
        </w:rPr>
        <w:t xml:space="preserve"> in Great Britain which deals with the circumstances in which a claimant is entitled to Disability Living Allowance care component and Attendance Allowance (and, by implication, Carer’s Allowance, Winter Fuel Payment and the Personal Independence Payment daily living component) when moving from another European Economic Area Member State and Switzerland, </w:t>
      </w:r>
      <w:r w:rsidR="00297646" w:rsidRPr="00297646">
        <w:rPr>
          <w:b/>
          <w:sz w:val="24"/>
          <w:szCs w:val="24"/>
        </w:rPr>
        <w:t>and</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297646" w:rsidRPr="00297646" w:rsidRDefault="00297646" w:rsidP="00297646">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Pr>
          <w:b/>
          <w:sz w:val="24"/>
          <w:szCs w:val="24"/>
        </w:rPr>
        <w:t>2.</w:t>
      </w:r>
      <w:r>
        <w:rPr>
          <w:sz w:val="24"/>
          <w:szCs w:val="24"/>
        </w:rPr>
        <w:tab/>
      </w:r>
      <w:proofErr w:type="gramStart"/>
      <w:r w:rsidRPr="00297646">
        <w:rPr>
          <w:sz w:val="24"/>
          <w:szCs w:val="24"/>
        </w:rPr>
        <w:t>instruct</w:t>
      </w:r>
      <w:proofErr w:type="gramEnd"/>
      <w:r w:rsidRPr="00297646">
        <w:rPr>
          <w:sz w:val="24"/>
          <w:szCs w:val="24"/>
        </w:rPr>
        <w:t xml:space="preserve"> decision makers to follow the decision.</w:t>
      </w:r>
    </w:p>
    <w:p w:rsidR="00297646" w:rsidRDefault="00297646"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Pr="008D6AD1" w:rsidRDefault="00482BC9" w:rsidP="00AF630B">
      <w:pPr>
        <w:pStyle w:val="MainNums"/>
        <w:numPr>
          <w:ilvl w:val="0"/>
          <w:numId w:val="0"/>
        </w:numPr>
        <w:tabs>
          <w:tab w:val="left" w:pos="567"/>
          <w:tab w:val="left" w:pos="1134"/>
          <w:tab w:val="left" w:pos="1701"/>
          <w:tab w:val="left" w:pos="6237"/>
        </w:tabs>
        <w:spacing w:before="0" w:after="0" w:line="240" w:lineRule="auto"/>
        <w:ind w:left="567" w:hanging="567"/>
        <w:jc w:val="right"/>
        <w:rPr>
          <w:i/>
          <w:sz w:val="16"/>
          <w:szCs w:val="16"/>
        </w:rPr>
      </w:pPr>
      <w:r>
        <w:rPr>
          <w:i/>
          <w:sz w:val="16"/>
          <w:szCs w:val="16"/>
        </w:rPr>
        <w:t xml:space="preserve">1  </w:t>
      </w:r>
      <w:r w:rsidR="00297646">
        <w:rPr>
          <w:i/>
          <w:sz w:val="16"/>
          <w:szCs w:val="16"/>
        </w:rPr>
        <w:t xml:space="preserve">[2019] EWCA </w:t>
      </w:r>
      <w:proofErr w:type="spellStart"/>
      <w:r w:rsidR="00297646">
        <w:rPr>
          <w:i/>
          <w:sz w:val="16"/>
          <w:szCs w:val="16"/>
        </w:rPr>
        <w:t>Civ</w:t>
      </w:r>
      <w:proofErr w:type="spellEnd"/>
      <w:r w:rsidR="00297646">
        <w:rPr>
          <w:i/>
          <w:sz w:val="16"/>
          <w:szCs w:val="16"/>
        </w:rPr>
        <w:t xml:space="preserve"> 272</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E11F31" w:rsidRDefault="00E11F31"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E11F31" w:rsidRPr="00E11F31" w:rsidRDefault="00E11F31"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b/>
          <w:sz w:val="24"/>
          <w:szCs w:val="24"/>
        </w:rPr>
        <w:lastRenderedPageBreak/>
        <w:tab/>
      </w:r>
      <w:r w:rsidRPr="00E11F31">
        <w:rPr>
          <w:b/>
          <w:sz w:val="24"/>
          <w:szCs w:val="24"/>
        </w:rPr>
        <w:t>THE UPPER TRIBUNAL DECISION</w:t>
      </w:r>
    </w:p>
    <w:p w:rsidR="00E11F31" w:rsidRDefault="00E11F31"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E11F31" w:rsidRPr="00E11F31" w:rsidRDefault="00E11F31"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b/>
          <w:sz w:val="24"/>
          <w:szCs w:val="24"/>
        </w:rPr>
        <w:tab/>
      </w:r>
      <w:r w:rsidRPr="00E11F31">
        <w:rPr>
          <w:b/>
          <w:sz w:val="24"/>
          <w:szCs w:val="24"/>
        </w:rPr>
        <w:t>BACKGROUND</w:t>
      </w:r>
    </w:p>
    <w:p w:rsidR="00E11F31" w:rsidRDefault="00E11F31"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Pr="00E11F31" w:rsidRDefault="00AF630B" w:rsidP="00E11F3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2</w:t>
      </w:r>
      <w:r>
        <w:rPr>
          <w:sz w:val="24"/>
          <w:szCs w:val="24"/>
        </w:rPr>
        <w:tab/>
      </w:r>
      <w:r w:rsidR="00E11F31" w:rsidRPr="00E11F31">
        <w:rPr>
          <w:sz w:val="24"/>
          <w:szCs w:val="24"/>
        </w:rPr>
        <w:t xml:space="preserve">The case involved two claimants who claimed benefit (Disability Living Allowance care component and Attendance Allowance) shortly after arriving in the United Kingdom. </w:t>
      </w:r>
      <w:r w:rsidR="00E11F31">
        <w:rPr>
          <w:sz w:val="24"/>
          <w:szCs w:val="24"/>
        </w:rPr>
        <w:t xml:space="preserve"> </w:t>
      </w:r>
      <w:r w:rsidR="00E11F31" w:rsidRPr="00E11F31">
        <w:rPr>
          <w:sz w:val="24"/>
          <w:szCs w:val="24"/>
        </w:rPr>
        <w:t>The decision maker in both cases disallowed benefit on the basis that they did not have a genuine and sufficient link and did not satisfy the past presence test</w:t>
      </w:r>
      <w:r w:rsidR="00AE1A72" w:rsidRPr="00E11F31">
        <w:rPr>
          <w:sz w:val="24"/>
          <w:szCs w:val="24"/>
        </w:rPr>
        <w:t>.</w:t>
      </w:r>
    </w:p>
    <w:p w:rsidR="00AF630B" w:rsidRPr="00450FF6" w:rsidRDefault="00AF630B" w:rsidP="00E53A11">
      <w:pPr>
        <w:pStyle w:val="MainNums"/>
        <w:numPr>
          <w:ilvl w:val="0"/>
          <w:numId w:val="0"/>
        </w:numPr>
        <w:tabs>
          <w:tab w:val="left" w:pos="567"/>
          <w:tab w:val="left" w:pos="1134"/>
          <w:tab w:val="left" w:pos="1701"/>
          <w:tab w:val="left" w:pos="6237"/>
        </w:tabs>
        <w:spacing w:before="0" w:after="0" w:line="240" w:lineRule="auto"/>
        <w:rPr>
          <w:sz w:val="24"/>
          <w:szCs w:val="24"/>
        </w:rPr>
      </w:pPr>
    </w:p>
    <w:p w:rsidR="00E53A11" w:rsidRPr="00E11F31" w:rsidRDefault="00612871" w:rsidP="00E11F3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3</w:t>
      </w:r>
      <w:r>
        <w:rPr>
          <w:sz w:val="24"/>
          <w:szCs w:val="24"/>
        </w:rPr>
        <w:tab/>
      </w:r>
      <w:r w:rsidR="00E11F31" w:rsidRPr="00E11F31">
        <w:rPr>
          <w:sz w:val="24"/>
          <w:szCs w:val="24"/>
        </w:rPr>
        <w:t>In the Disability Living Allowance case, the First-tier Tribunal dismissed the appeal, deciding that neither the claimant nor his mother satisfied the genuine and sufficient link test and that he could not aggregate his residence in the Republic of Ireland with his residence in this country in order to satisfy the past presence test</w:t>
      </w:r>
      <w:r w:rsidR="001A3D29" w:rsidRPr="00E11F31">
        <w:rPr>
          <w:sz w:val="24"/>
          <w:szCs w:val="24"/>
        </w:rPr>
        <w:t>.</w:t>
      </w:r>
    </w:p>
    <w:p w:rsidR="00E53A11" w:rsidRPr="00E11F31" w:rsidRDefault="00E53A11" w:rsidP="00E53A11">
      <w:pPr>
        <w:spacing w:after="0" w:line="240" w:lineRule="auto"/>
        <w:rPr>
          <w:sz w:val="24"/>
        </w:rPr>
      </w:pPr>
    </w:p>
    <w:p w:rsidR="00C00A0F" w:rsidRPr="00E11F31" w:rsidRDefault="00E11F31"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4</w:t>
      </w:r>
      <w:r>
        <w:rPr>
          <w:sz w:val="24"/>
          <w:szCs w:val="24"/>
        </w:rPr>
        <w:tab/>
      </w:r>
      <w:r w:rsidRPr="00E11F31">
        <w:rPr>
          <w:sz w:val="24"/>
          <w:szCs w:val="24"/>
        </w:rPr>
        <w:t>In the Attendance Allowance case, the First-tier Tribunal allowed the appeal, deciding that the claimant’s residence in Germany could be aggregated with her residence in this country, with the effect that she satisfied the past presence test</w:t>
      </w:r>
      <w:r>
        <w:rPr>
          <w:sz w:val="24"/>
          <w:szCs w:val="24"/>
        </w:rPr>
        <w:t>.</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91009" w:rsidRDefault="00AF630B" w:rsidP="00B91009">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r>
        <w:rPr>
          <w:szCs w:val="24"/>
        </w:rPr>
        <w:tab/>
      </w:r>
      <w:r w:rsidR="00E11F31">
        <w:rPr>
          <w:b/>
          <w:sz w:val="24"/>
          <w:szCs w:val="24"/>
        </w:rPr>
        <w:t>WHAT THE UPPER TRIBUNAL DECIDED</w:t>
      </w:r>
    </w:p>
    <w:p w:rsidR="00B91009" w:rsidRPr="00242ECD" w:rsidRDefault="00B91009" w:rsidP="00B91009">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91009" w:rsidRPr="00105028" w:rsidRDefault="00E11F31" w:rsidP="00E53A1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5</w:t>
      </w:r>
      <w:r w:rsidR="00B91009">
        <w:rPr>
          <w:b/>
          <w:sz w:val="24"/>
          <w:szCs w:val="24"/>
        </w:rPr>
        <w:tab/>
      </w:r>
      <w:r w:rsidR="00105028" w:rsidRPr="00105028">
        <w:rPr>
          <w:sz w:val="24"/>
          <w:szCs w:val="24"/>
        </w:rPr>
        <w:t>Both cases were appealed to the Upper Tribunal in Great Britain</w:t>
      </w:r>
      <w:r w:rsidR="00105028" w:rsidRPr="00105028">
        <w:rPr>
          <w:sz w:val="24"/>
          <w:szCs w:val="24"/>
          <w:vertAlign w:val="superscript"/>
        </w:rPr>
        <w:t>1</w:t>
      </w:r>
      <w:r w:rsidR="00105028" w:rsidRPr="00105028">
        <w:rPr>
          <w:sz w:val="24"/>
          <w:szCs w:val="24"/>
        </w:rPr>
        <w:t xml:space="preserve">. </w:t>
      </w:r>
      <w:r w:rsidR="00105028">
        <w:rPr>
          <w:sz w:val="24"/>
          <w:szCs w:val="24"/>
        </w:rPr>
        <w:t xml:space="preserve"> </w:t>
      </w:r>
      <w:r w:rsidR="00105028" w:rsidRPr="00105028">
        <w:rPr>
          <w:sz w:val="24"/>
          <w:szCs w:val="24"/>
        </w:rPr>
        <w:t>The Upper Tribunal did not award benefit in either case and decided that:</w:t>
      </w:r>
    </w:p>
    <w:p w:rsidR="00B91009" w:rsidRPr="00105028" w:rsidRDefault="00B91009" w:rsidP="00B91009">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105028" w:rsidRPr="00105028" w:rsidRDefault="00105028" w:rsidP="00105028">
      <w:pPr>
        <w:pStyle w:val="MainNums"/>
        <w:numPr>
          <w:ilvl w:val="0"/>
          <w:numId w:val="0"/>
        </w:numPr>
        <w:tabs>
          <w:tab w:val="left" w:pos="567"/>
          <w:tab w:val="left" w:pos="1134"/>
          <w:tab w:val="left" w:pos="1701"/>
          <w:tab w:val="left" w:pos="6237"/>
        </w:tabs>
        <w:spacing w:before="0" w:after="0" w:line="240" w:lineRule="auto"/>
        <w:ind w:left="1134" w:hanging="1134"/>
        <w:rPr>
          <w:kern w:val="0"/>
          <w:sz w:val="24"/>
          <w:szCs w:val="24"/>
        </w:rPr>
      </w:pPr>
      <w:r w:rsidRPr="00105028">
        <w:rPr>
          <w:kern w:val="0"/>
          <w:sz w:val="24"/>
          <w:szCs w:val="24"/>
        </w:rPr>
        <w:tab/>
      </w:r>
      <w:r w:rsidRPr="00105028">
        <w:rPr>
          <w:b/>
          <w:kern w:val="0"/>
          <w:sz w:val="24"/>
          <w:szCs w:val="24"/>
        </w:rPr>
        <w:t>1.</w:t>
      </w:r>
      <w:r>
        <w:rPr>
          <w:b/>
          <w:kern w:val="0"/>
          <w:sz w:val="24"/>
          <w:szCs w:val="24"/>
        </w:rPr>
        <w:tab/>
      </w:r>
      <w:proofErr w:type="gramStart"/>
      <w:r w:rsidRPr="00105028">
        <w:rPr>
          <w:sz w:val="24"/>
          <w:szCs w:val="24"/>
        </w:rPr>
        <w:t>mere</w:t>
      </w:r>
      <w:proofErr w:type="gramEnd"/>
      <w:r w:rsidRPr="00105028">
        <w:rPr>
          <w:sz w:val="24"/>
          <w:szCs w:val="24"/>
        </w:rPr>
        <w:t xml:space="preserve"> residence could not be aggregated for the purpose of the past presence test, only residence that equates to insurance in a Member State can be aggregated; </w:t>
      </w:r>
      <w:r w:rsidRPr="00105028">
        <w:rPr>
          <w:b/>
          <w:sz w:val="24"/>
          <w:szCs w:val="24"/>
        </w:rPr>
        <w:t>and</w:t>
      </w:r>
    </w:p>
    <w:p w:rsidR="00E11F31" w:rsidRDefault="00E11F31" w:rsidP="00B91009">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105028" w:rsidRPr="00105028" w:rsidRDefault="00105028" w:rsidP="00105028">
      <w:pPr>
        <w:pStyle w:val="MainNums"/>
        <w:numPr>
          <w:ilvl w:val="0"/>
          <w:numId w:val="0"/>
        </w:numPr>
        <w:tabs>
          <w:tab w:val="left" w:pos="567"/>
          <w:tab w:val="left" w:pos="1134"/>
          <w:tab w:val="left" w:pos="1701"/>
          <w:tab w:val="left" w:pos="6237"/>
        </w:tabs>
        <w:spacing w:before="0" w:after="0" w:line="240" w:lineRule="auto"/>
        <w:ind w:left="1134" w:hanging="1134"/>
        <w:rPr>
          <w:kern w:val="0"/>
          <w:sz w:val="24"/>
          <w:szCs w:val="24"/>
        </w:rPr>
      </w:pPr>
      <w:r>
        <w:rPr>
          <w:kern w:val="0"/>
          <w:sz w:val="24"/>
          <w:szCs w:val="24"/>
        </w:rPr>
        <w:tab/>
      </w:r>
      <w:r>
        <w:rPr>
          <w:b/>
          <w:kern w:val="0"/>
          <w:sz w:val="24"/>
          <w:szCs w:val="24"/>
        </w:rPr>
        <w:t>2.</w:t>
      </w:r>
      <w:r>
        <w:rPr>
          <w:kern w:val="0"/>
          <w:sz w:val="24"/>
          <w:szCs w:val="24"/>
        </w:rPr>
        <w:tab/>
      </w:r>
      <w:proofErr w:type="gramStart"/>
      <w:r w:rsidRPr="00105028">
        <w:rPr>
          <w:sz w:val="24"/>
          <w:szCs w:val="24"/>
        </w:rPr>
        <w:t>for</w:t>
      </w:r>
      <w:proofErr w:type="gramEnd"/>
      <w:r w:rsidRPr="00105028">
        <w:rPr>
          <w:sz w:val="24"/>
          <w:szCs w:val="24"/>
        </w:rPr>
        <w:t xml:space="preserve"> the purpose of the genuine and sufficient link test, the link was with the Member State, not with </w:t>
      </w:r>
      <w:proofErr w:type="spellStart"/>
      <w:r w:rsidRPr="00105028">
        <w:rPr>
          <w:sz w:val="24"/>
          <w:szCs w:val="24"/>
        </w:rPr>
        <w:t>it’s</w:t>
      </w:r>
      <w:proofErr w:type="spellEnd"/>
      <w:r w:rsidRPr="00105028">
        <w:rPr>
          <w:sz w:val="24"/>
          <w:szCs w:val="24"/>
        </w:rPr>
        <w:t xml:space="preserve"> social security system</w:t>
      </w:r>
    </w:p>
    <w:p w:rsidR="00E11F31" w:rsidRPr="00105028" w:rsidRDefault="00E11F31" w:rsidP="00B91009">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B91009" w:rsidRDefault="00B40A05" w:rsidP="00222049">
      <w:pPr>
        <w:pStyle w:val="MainNums"/>
        <w:numPr>
          <w:ilvl w:val="0"/>
          <w:numId w:val="0"/>
        </w:numPr>
        <w:tabs>
          <w:tab w:val="left" w:pos="567"/>
          <w:tab w:val="left" w:pos="1134"/>
          <w:tab w:val="left" w:pos="1701"/>
          <w:tab w:val="left" w:pos="6237"/>
        </w:tabs>
        <w:spacing w:before="0" w:after="0" w:line="240" w:lineRule="auto"/>
        <w:jc w:val="right"/>
        <w:rPr>
          <w:szCs w:val="24"/>
        </w:rPr>
      </w:pPr>
      <w:proofErr w:type="gramStart"/>
      <w:r w:rsidRPr="00B40A05">
        <w:rPr>
          <w:i/>
          <w:sz w:val="16"/>
          <w:szCs w:val="16"/>
        </w:rPr>
        <w:t xml:space="preserve">1 </w:t>
      </w:r>
      <w:r w:rsidR="00222049">
        <w:rPr>
          <w:i/>
          <w:sz w:val="16"/>
          <w:szCs w:val="16"/>
        </w:rPr>
        <w:t xml:space="preserve"> </w:t>
      </w:r>
      <w:r w:rsidR="00105028">
        <w:rPr>
          <w:i/>
          <w:sz w:val="16"/>
          <w:szCs w:val="16"/>
        </w:rPr>
        <w:t>[</w:t>
      </w:r>
      <w:proofErr w:type="gramEnd"/>
      <w:r w:rsidR="00105028">
        <w:rPr>
          <w:i/>
          <w:sz w:val="16"/>
          <w:szCs w:val="16"/>
        </w:rPr>
        <w:t>2016] UKUT 0547 (AAC)</w:t>
      </w:r>
    </w:p>
    <w:p w:rsidR="006C5D9D" w:rsidRPr="00105028" w:rsidRDefault="006C5D9D" w:rsidP="006C5D9D">
      <w:pPr>
        <w:pStyle w:val="MainNums"/>
        <w:numPr>
          <w:ilvl w:val="0"/>
          <w:numId w:val="0"/>
        </w:numPr>
        <w:tabs>
          <w:tab w:val="left" w:pos="567"/>
          <w:tab w:val="left" w:pos="1134"/>
          <w:tab w:val="left" w:pos="1701"/>
          <w:tab w:val="left" w:pos="6237"/>
        </w:tabs>
        <w:spacing w:before="0" w:after="0" w:line="240" w:lineRule="auto"/>
        <w:rPr>
          <w:sz w:val="24"/>
          <w:szCs w:val="24"/>
        </w:rPr>
      </w:pPr>
    </w:p>
    <w:p w:rsidR="009B631F" w:rsidRPr="00105028" w:rsidRDefault="00105028" w:rsidP="00CF75CC">
      <w:pPr>
        <w:pStyle w:val="MainNums"/>
        <w:numPr>
          <w:ilvl w:val="0"/>
          <w:numId w:val="0"/>
        </w:numPr>
        <w:tabs>
          <w:tab w:val="left" w:pos="567"/>
        </w:tabs>
        <w:spacing w:before="0" w:after="0" w:line="240" w:lineRule="auto"/>
        <w:ind w:left="567" w:hanging="567"/>
        <w:rPr>
          <w:sz w:val="24"/>
          <w:szCs w:val="24"/>
        </w:rPr>
      </w:pPr>
      <w:r>
        <w:rPr>
          <w:sz w:val="24"/>
          <w:szCs w:val="24"/>
        </w:rPr>
        <w:t>6</w:t>
      </w:r>
      <w:r w:rsidR="00CF75CC">
        <w:rPr>
          <w:sz w:val="24"/>
          <w:szCs w:val="24"/>
        </w:rPr>
        <w:tab/>
      </w:r>
      <w:r w:rsidRPr="00105028">
        <w:rPr>
          <w:sz w:val="24"/>
          <w:szCs w:val="24"/>
        </w:rPr>
        <w:t xml:space="preserve">Both parties appealed the decision to the Court of Appeal. </w:t>
      </w:r>
      <w:r>
        <w:rPr>
          <w:sz w:val="24"/>
          <w:szCs w:val="24"/>
        </w:rPr>
        <w:t xml:space="preserve"> </w:t>
      </w:r>
      <w:r w:rsidRPr="00105028">
        <w:rPr>
          <w:sz w:val="24"/>
          <w:szCs w:val="24"/>
        </w:rPr>
        <w:t>The Secretary of State for Work and Pensions agreed with the first point (however, the claimants were appealing this aspect of the decision); and the Secretary of State appealed the second point, disagreeing that the words “social security system” should be disregarded from the genuine and sufficient link test.</w:t>
      </w:r>
    </w:p>
    <w:p w:rsidR="009B631F" w:rsidRDefault="009B631F" w:rsidP="009B631F">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222049" w:rsidRDefault="00222049" w:rsidP="00242ECD">
      <w:pPr>
        <w:pStyle w:val="MainNums"/>
        <w:numPr>
          <w:ilvl w:val="0"/>
          <w:numId w:val="0"/>
        </w:numPr>
        <w:spacing w:before="0" w:after="0" w:line="240" w:lineRule="auto"/>
        <w:ind w:left="567" w:hanging="567"/>
        <w:rPr>
          <w:caps/>
          <w:kern w:val="0"/>
          <w:sz w:val="24"/>
          <w:szCs w:val="24"/>
        </w:rPr>
      </w:pPr>
    </w:p>
    <w:p w:rsidR="005D04EB" w:rsidRDefault="00105028" w:rsidP="00242ECD">
      <w:pPr>
        <w:pStyle w:val="MainNums"/>
        <w:numPr>
          <w:ilvl w:val="0"/>
          <w:numId w:val="0"/>
        </w:numPr>
        <w:spacing w:before="0" w:after="0" w:line="240" w:lineRule="auto"/>
        <w:ind w:left="567" w:hanging="54"/>
        <w:rPr>
          <w:b/>
          <w:caps/>
          <w:kern w:val="0"/>
          <w:sz w:val="24"/>
          <w:szCs w:val="24"/>
        </w:rPr>
      </w:pPr>
      <w:r>
        <w:rPr>
          <w:b/>
          <w:caps/>
          <w:kern w:val="0"/>
          <w:sz w:val="24"/>
          <w:szCs w:val="24"/>
        </w:rPr>
        <w:t>THE COURT OF APPEAL DECISION</w:t>
      </w:r>
    </w:p>
    <w:p w:rsidR="00105028" w:rsidRDefault="00105028" w:rsidP="00242ECD">
      <w:pPr>
        <w:pStyle w:val="MainNums"/>
        <w:numPr>
          <w:ilvl w:val="0"/>
          <w:numId w:val="0"/>
        </w:numPr>
        <w:spacing w:before="0" w:after="0" w:line="240" w:lineRule="auto"/>
        <w:ind w:left="567" w:hanging="567"/>
        <w:rPr>
          <w:caps/>
          <w:kern w:val="0"/>
          <w:sz w:val="24"/>
          <w:szCs w:val="24"/>
        </w:rPr>
      </w:pPr>
    </w:p>
    <w:p w:rsidR="00105028" w:rsidRPr="00105028" w:rsidRDefault="00105028" w:rsidP="00242ECD">
      <w:pPr>
        <w:pStyle w:val="MainNums"/>
        <w:numPr>
          <w:ilvl w:val="0"/>
          <w:numId w:val="0"/>
        </w:numPr>
        <w:spacing w:before="0" w:after="0" w:line="240" w:lineRule="auto"/>
        <w:ind w:left="567" w:hanging="567"/>
        <w:rPr>
          <w:b/>
          <w:caps/>
          <w:kern w:val="0"/>
          <w:sz w:val="24"/>
          <w:szCs w:val="24"/>
        </w:rPr>
      </w:pPr>
      <w:r>
        <w:rPr>
          <w:caps/>
          <w:kern w:val="0"/>
          <w:sz w:val="24"/>
          <w:szCs w:val="24"/>
        </w:rPr>
        <w:tab/>
      </w:r>
      <w:r>
        <w:rPr>
          <w:b/>
          <w:caps/>
          <w:kern w:val="0"/>
          <w:sz w:val="24"/>
          <w:szCs w:val="24"/>
        </w:rPr>
        <w:t>WHAT THE COURT OF APPEAL DECIDED</w:t>
      </w:r>
    </w:p>
    <w:p w:rsidR="00105028" w:rsidRDefault="00105028" w:rsidP="00242ECD">
      <w:pPr>
        <w:pStyle w:val="MainNums"/>
        <w:numPr>
          <w:ilvl w:val="0"/>
          <w:numId w:val="0"/>
        </w:numPr>
        <w:spacing w:before="0" w:after="0" w:line="240" w:lineRule="auto"/>
        <w:ind w:left="567" w:hanging="567"/>
        <w:rPr>
          <w:caps/>
          <w:kern w:val="0"/>
          <w:sz w:val="24"/>
          <w:szCs w:val="24"/>
        </w:rPr>
      </w:pPr>
    </w:p>
    <w:p w:rsidR="004A6EEA" w:rsidRPr="00EE497B" w:rsidRDefault="003D21AD" w:rsidP="003D21AD">
      <w:pPr>
        <w:pStyle w:val="MainNums"/>
        <w:numPr>
          <w:ilvl w:val="0"/>
          <w:numId w:val="0"/>
        </w:numPr>
        <w:spacing w:before="0" w:after="0" w:line="240" w:lineRule="auto"/>
        <w:ind w:left="567" w:hanging="567"/>
        <w:rPr>
          <w:kern w:val="0"/>
          <w:sz w:val="24"/>
          <w:szCs w:val="24"/>
        </w:rPr>
      </w:pPr>
      <w:r>
        <w:rPr>
          <w:caps/>
          <w:kern w:val="0"/>
          <w:sz w:val="24"/>
          <w:szCs w:val="24"/>
        </w:rPr>
        <w:t>7</w:t>
      </w:r>
      <w:r w:rsidR="00813124">
        <w:rPr>
          <w:caps/>
          <w:kern w:val="0"/>
          <w:sz w:val="24"/>
          <w:szCs w:val="24"/>
        </w:rPr>
        <w:tab/>
      </w:r>
      <w:r w:rsidRPr="00EE497B">
        <w:rPr>
          <w:rFonts w:cs="Arial"/>
          <w:spacing w:val="3"/>
          <w:sz w:val="24"/>
          <w:szCs w:val="24"/>
          <w:lang w:val="en" w:eastAsia="en-GB"/>
        </w:rPr>
        <w:t xml:space="preserve">The Court of Appeal confirmed that the link in the genuine and sufficient link test should be to the </w:t>
      </w:r>
      <w:r w:rsidRPr="00EE497B">
        <w:rPr>
          <w:sz w:val="24"/>
          <w:szCs w:val="24"/>
        </w:rPr>
        <w:t>United Kingdom</w:t>
      </w:r>
      <w:r w:rsidRPr="00EE497B">
        <w:rPr>
          <w:rFonts w:cs="Arial"/>
          <w:spacing w:val="3"/>
          <w:sz w:val="24"/>
          <w:szCs w:val="24"/>
          <w:lang w:val="en" w:eastAsia="en-GB"/>
        </w:rPr>
        <w:t xml:space="preserve">, not the </w:t>
      </w:r>
      <w:r w:rsidRPr="00EE497B">
        <w:rPr>
          <w:sz w:val="24"/>
          <w:szCs w:val="24"/>
        </w:rPr>
        <w:t>United Kingdom</w:t>
      </w:r>
      <w:r w:rsidRPr="00EE497B">
        <w:rPr>
          <w:rFonts w:cs="Arial"/>
          <w:spacing w:val="3"/>
          <w:sz w:val="24"/>
          <w:szCs w:val="24"/>
          <w:lang w:val="en" w:eastAsia="en-GB"/>
        </w:rPr>
        <w:t>’s social security system.</w:t>
      </w:r>
    </w:p>
    <w:p w:rsidR="00E5573D" w:rsidRDefault="00E5573D" w:rsidP="00242ECD">
      <w:pPr>
        <w:pStyle w:val="MainNums"/>
        <w:numPr>
          <w:ilvl w:val="0"/>
          <w:numId w:val="0"/>
        </w:numPr>
        <w:spacing w:before="0" w:after="0" w:line="240" w:lineRule="auto"/>
        <w:ind w:left="567" w:hanging="567"/>
        <w:rPr>
          <w:kern w:val="0"/>
          <w:sz w:val="24"/>
          <w:szCs w:val="24"/>
        </w:rPr>
      </w:pPr>
    </w:p>
    <w:p w:rsidR="003D21AD" w:rsidRDefault="003D21AD" w:rsidP="00242ECD">
      <w:pPr>
        <w:pStyle w:val="MainNums"/>
        <w:numPr>
          <w:ilvl w:val="0"/>
          <w:numId w:val="0"/>
        </w:numPr>
        <w:spacing w:before="0" w:after="0" w:line="240" w:lineRule="auto"/>
        <w:ind w:left="567" w:hanging="567"/>
        <w:rPr>
          <w:kern w:val="0"/>
          <w:sz w:val="24"/>
          <w:szCs w:val="24"/>
        </w:rPr>
      </w:pPr>
    </w:p>
    <w:p w:rsidR="003D21AD" w:rsidRPr="003D21AD" w:rsidRDefault="003D21AD" w:rsidP="003D21AD">
      <w:pPr>
        <w:pStyle w:val="MainNums"/>
        <w:numPr>
          <w:ilvl w:val="0"/>
          <w:numId w:val="0"/>
        </w:numPr>
        <w:tabs>
          <w:tab w:val="left" w:pos="567"/>
          <w:tab w:val="left" w:pos="1134"/>
          <w:tab w:val="left" w:pos="1701"/>
          <w:tab w:val="left" w:pos="6237"/>
        </w:tabs>
        <w:spacing w:before="0" w:after="0" w:line="240" w:lineRule="auto"/>
        <w:ind w:left="567" w:hanging="567"/>
        <w:rPr>
          <w:rFonts w:cs="Arial"/>
          <w:bCs/>
          <w:spacing w:val="3"/>
          <w:sz w:val="24"/>
          <w:szCs w:val="24"/>
          <w:bdr w:val="none" w:sz="0" w:space="0" w:color="auto" w:frame="1"/>
          <w:lang w:val="en" w:eastAsia="en-GB"/>
        </w:rPr>
      </w:pPr>
      <w:r>
        <w:rPr>
          <w:rFonts w:cs="Arial"/>
          <w:bCs/>
          <w:spacing w:val="3"/>
          <w:sz w:val="24"/>
          <w:szCs w:val="24"/>
          <w:bdr w:val="none" w:sz="0" w:space="0" w:color="auto" w:frame="1"/>
          <w:lang w:val="en" w:eastAsia="en-GB"/>
        </w:rPr>
        <w:lastRenderedPageBreak/>
        <w:t>8</w:t>
      </w:r>
      <w:r w:rsidR="008F4161">
        <w:rPr>
          <w:rFonts w:cs="Arial"/>
          <w:bCs/>
          <w:spacing w:val="3"/>
          <w:sz w:val="24"/>
          <w:szCs w:val="24"/>
          <w:bdr w:val="none" w:sz="0" w:space="0" w:color="auto" w:frame="1"/>
          <w:lang w:val="en" w:eastAsia="en-GB"/>
        </w:rPr>
        <w:tab/>
      </w:r>
      <w:r w:rsidRPr="003D21AD">
        <w:rPr>
          <w:sz w:val="24"/>
          <w:szCs w:val="24"/>
        </w:rPr>
        <w:t xml:space="preserve">In addition to the factors set out in ADM paragraph C2130 et </w:t>
      </w:r>
      <w:proofErr w:type="spellStart"/>
      <w:r w:rsidRPr="003D21AD">
        <w:rPr>
          <w:sz w:val="24"/>
          <w:szCs w:val="24"/>
        </w:rPr>
        <w:t>seq</w:t>
      </w:r>
      <w:proofErr w:type="spellEnd"/>
      <w:r w:rsidRPr="003D21AD">
        <w:rPr>
          <w:sz w:val="24"/>
          <w:szCs w:val="24"/>
        </w:rPr>
        <w:t xml:space="preserve"> the Court of Appeal found that it is equally clear that, in assessing whether such a genuine and sufficient link is established, objective evidence to prove the link is plainly critical; but evidence of the motives, intentions and expectations of the applicant should be taken into account if they are relevant to proof of the link and are convincing</w:t>
      </w:r>
      <w:r>
        <w:rPr>
          <w:sz w:val="24"/>
          <w:szCs w:val="24"/>
        </w:rPr>
        <w:t>.</w:t>
      </w:r>
    </w:p>
    <w:p w:rsidR="00FE2A65" w:rsidRPr="00404AD9" w:rsidRDefault="00FE2A65" w:rsidP="00222049">
      <w:pPr>
        <w:pStyle w:val="MainNums"/>
        <w:numPr>
          <w:ilvl w:val="0"/>
          <w:numId w:val="0"/>
        </w:numPr>
        <w:tabs>
          <w:tab w:val="left" w:pos="567"/>
          <w:tab w:val="left" w:pos="1134"/>
          <w:tab w:val="left" w:pos="1701"/>
          <w:tab w:val="left" w:pos="6237"/>
        </w:tabs>
        <w:spacing w:before="0" w:after="0" w:line="240" w:lineRule="auto"/>
        <w:rPr>
          <w:rFonts w:cs="Arial"/>
          <w:bCs/>
          <w:spacing w:val="3"/>
          <w:sz w:val="24"/>
          <w:szCs w:val="24"/>
          <w:bdr w:val="none" w:sz="0" w:space="0" w:color="auto" w:frame="1"/>
          <w:lang w:val="en" w:eastAsia="en-GB"/>
        </w:rPr>
      </w:pPr>
    </w:p>
    <w:p w:rsidR="00F201AB" w:rsidRDefault="003D21AD" w:rsidP="00FE2A65">
      <w:pPr>
        <w:pStyle w:val="MainNums"/>
        <w:numPr>
          <w:ilvl w:val="0"/>
          <w:numId w:val="0"/>
        </w:numPr>
        <w:spacing w:before="0" w:after="0" w:line="240" w:lineRule="auto"/>
        <w:ind w:left="567" w:hanging="567"/>
        <w:rPr>
          <w:sz w:val="24"/>
          <w:szCs w:val="24"/>
        </w:rPr>
      </w:pPr>
      <w:r>
        <w:rPr>
          <w:sz w:val="24"/>
          <w:szCs w:val="24"/>
        </w:rPr>
        <w:t>9</w:t>
      </w:r>
      <w:r w:rsidR="00F063E1">
        <w:rPr>
          <w:sz w:val="24"/>
          <w:szCs w:val="24"/>
        </w:rPr>
        <w:tab/>
      </w:r>
      <w:r w:rsidRPr="003D21AD">
        <w:rPr>
          <w:sz w:val="24"/>
          <w:szCs w:val="24"/>
        </w:rPr>
        <w:t>However, as the Court of Appeal stated at paragraph 69 of their decision;</w:t>
      </w:r>
    </w:p>
    <w:p w:rsidR="00334C34" w:rsidRDefault="00334C34" w:rsidP="00FE2A65">
      <w:pPr>
        <w:pStyle w:val="MainNums"/>
        <w:numPr>
          <w:ilvl w:val="0"/>
          <w:numId w:val="0"/>
        </w:numPr>
        <w:spacing w:before="0" w:after="0" w:line="240" w:lineRule="auto"/>
        <w:ind w:left="567" w:hanging="567"/>
        <w:rPr>
          <w:sz w:val="24"/>
          <w:szCs w:val="24"/>
        </w:rPr>
      </w:pPr>
    </w:p>
    <w:p w:rsidR="003D21AD" w:rsidRPr="003D21AD" w:rsidRDefault="003D21AD" w:rsidP="00FE2A65">
      <w:pPr>
        <w:pStyle w:val="MainNums"/>
        <w:numPr>
          <w:ilvl w:val="0"/>
          <w:numId w:val="0"/>
        </w:numPr>
        <w:spacing w:before="0" w:after="0" w:line="240" w:lineRule="auto"/>
        <w:ind w:left="567" w:hanging="567"/>
        <w:rPr>
          <w:sz w:val="24"/>
          <w:szCs w:val="24"/>
        </w:rPr>
      </w:pPr>
      <w:r>
        <w:rPr>
          <w:sz w:val="24"/>
          <w:szCs w:val="24"/>
        </w:rPr>
        <w:tab/>
      </w:r>
      <w:r w:rsidRPr="003D21AD">
        <w:rPr>
          <w:i/>
          <w:sz w:val="24"/>
          <w:szCs w:val="24"/>
        </w:rPr>
        <w:t xml:space="preserve">“Decision makers and, on appeal, the courts are entitled to be cautious about self-serving statements by applicants, especially if the benefits are claimed immediately on or only shortly after arrival in the </w:t>
      </w:r>
      <w:r w:rsidRPr="003D21AD">
        <w:rPr>
          <w:sz w:val="24"/>
          <w:szCs w:val="24"/>
        </w:rPr>
        <w:t>United Kingdom</w:t>
      </w:r>
      <w:r w:rsidRPr="003D21AD">
        <w:rPr>
          <w:i/>
          <w:sz w:val="24"/>
          <w:szCs w:val="24"/>
        </w:rPr>
        <w:t xml:space="preserve">. </w:t>
      </w:r>
      <w:r>
        <w:rPr>
          <w:i/>
          <w:sz w:val="24"/>
          <w:szCs w:val="24"/>
        </w:rPr>
        <w:t xml:space="preserve"> </w:t>
      </w:r>
      <w:r w:rsidRPr="003D21AD">
        <w:rPr>
          <w:i/>
          <w:sz w:val="24"/>
          <w:szCs w:val="24"/>
        </w:rPr>
        <w:t>Such caution is justified not only because self-serving statements as to motives, intentions and expectations may not be genuine but also because, even if they are genuine, actual realisation of the intentions and expectations of the applicant will not have been tested by the passage of time and the realities of the situation.”</w:t>
      </w:r>
    </w:p>
    <w:p w:rsidR="003D21AD" w:rsidRDefault="003D21AD" w:rsidP="00FE2A65">
      <w:pPr>
        <w:pStyle w:val="MainNums"/>
        <w:numPr>
          <w:ilvl w:val="0"/>
          <w:numId w:val="0"/>
        </w:numPr>
        <w:spacing w:before="0" w:after="0" w:line="240" w:lineRule="auto"/>
        <w:ind w:left="567" w:hanging="567"/>
        <w:rPr>
          <w:sz w:val="24"/>
          <w:szCs w:val="24"/>
        </w:rPr>
      </w:pPr>
    </w:p>
    <w:p w:rsidR="00334C34" w:rsidRDefault="00334C34" w:rsidP="00334C34">
      <w:pPr>
        <w:spacing w:after="0" w:line="240" w:lineRule="auto"/>
        <w:ind w:left="567"/>
        <w:rPr>
          <w:rFonts w:cs="Arial"/>
          <w:b/>
          <w:sz w:val="24"/>
        </w:rPr>
      </w:pPr>
      <w:r w:rsidRPr="00C63ABA">
        <w:rPr>
          <w:rFonts w:cs="Arial"/>
          <w:b/>
          <w:sz w:val="24"/>
        </w:rPr>
        <w:t>Example</w:t>
      </w:r>
      <w:r w:rsidR="009215ED">
        <w:rPr>
          <w:rFonts w:cs="Arial"/>
          <w:b/>
          <w:sz w:val="24"/>
        </w:rPr>
        <w:t xml:space="preserve"> 1</w:t>
      </w:r>
    </w:p>
    <w:p w:rsidR="00334C34" w:rsidRPr="00836480" w:rsidRDefault="00334C34" w:rsidP="00334C34">
      <w:pPr>
        <w:spacing w:after="0" w:line="240" w:lineRule="auto"/>
        <w:rPr>
          <w:rFonts w:cs="Arial"/>
          <w:sz w:val="24"/>
        </w:rPr>
      </w:pPr>
    </w:p>
    <w:p w:rsidR="009215ED" w:rsidRDefault="009215ED" w:rsidP="009215ED">
      <w:pPr>
        <w:spacing w:after="0" w:line="240" w:lineRule="auto"/>
        <w:ind w:left="567"/>
        <w:rPr>
          <w:sz w:val="24"/>
        </w:rPr>
      </w:pPr>
      <w:r w:rsidRPr="009215ED">
        <w:rPr>
          <w:sz w:val="24"/>
        </w:rPr>
        <w:t xml:space="preserve">BK’s Mother relocated from the Republic of Ireland to the United Kingdom, which was her country of nationality, as </w:t>
      </w:r>
      <w:r>
        <w:rPr>
          <w:sz w:val="24"/>
        </w:rPr>
        <w:t xml:space="preserve">a result of domestic violence.  </w:t>
      </w:r>
      <w:r w:rsidRPr="009215ED">
        <w:rPr>
          <w:sz w:val="24"/>
        </w:rPr>
        <w:t>She stated that;</w:t>
      </w:r>
    </w:p>
    <w:p w:rsidR="009215ED" w:rsidRPr="009215ED" w:rsidRDefault="009215ED" w:rsidP="009215ED">
      <w:pPr>
        <w:spacing w:after="0" w:line="240" w:lineRule="auto"/>
        <w:ind w:left="567" w:hanging="567"/>
        <w:rPr>
          <w:sz w:val="24"/>
        </w:rPr>
      </w:pPr>
    </w:p>
    <w:p w:rsidR="009215ED" w:rsidRPr="009215ED" w:rsidRDefault="009215ED" w:rsidP="009E414A">
      <w:pPr>
        <w:pStyle w:val="ListParagraph"/>
        <w:numPr>
          <w:ilvl w:val="0"/>
          <w:numId w:val="11"/>
        </w:numPr>
        <w:tabs>
          <w:tab w:val="left" w:pos="567"/>
          <w:tab w:val="left" w:pos="1134"/>
          <w:tab w:val="left" w:pos="1701"/>
        </w:tabs>
        <w:spacing w:after="0" w:line="240" w:lineRule="auto"/>
        <w:ind w:left="1134" w:hanging="567"/>
        <w:rPr>
          <w:sz w:val="24"/>
        </w:rPr>
      </w:pPr>
      <w:r w:rsidRPr="009215ED">
        <w:rPr>
          <w:sz w:val="24"/>
        </w:rPr>
        <w:t>she required the support of her own mother, grandmother and two brothers, all of whom resided in England;</w:t>
      </w:r>
    </w:p>
    <w:p w:rsidR="009215ED" w:rsidRPr="009215ED" w:rsidRDefault="009215ED" w:rsidP="009215ED">
      <w:pPr>
        <w:pStyle w:val="ListParagraph"/>
        <w:tabs>
          <w:tab w:val="left" w:pos="567"/>
          <w:tab w:val="left" w:pos="1134"/>
          <w:tab w:val="left" w:pos="1701"/>
        </w:tabs>
        <w:spacing w:after="0" w:line="240" w:lineRule="auto"/>
        <w:ind w:left="0"/>
        <w:rPr>
          <w:sz w:val="24"/>
        </w:rPr>
      </w:pPr>
    </w:p>
    <w:p w:rsidR="009215ED" w:rsidRPr="009215ED" w:rsidRDefault="009215ED" w:rsidP="009E414A">
      <w:pPr>
        <w:pStyle w:val="ListParagraph"/>
        <w:numPr>
          <w:ilvl w:val="0"/>
          <w:numId w:val="11"/>
        </w:numPr>
        <w:tabs>
          <w:tab w:val="left" w:pos="567"/>
          <w:tab w:val="left" w:pos="1134"/>
          <w:tab w:val="left" w:pos="1701"/>
        </w:tabs>
        <w:spacing w:after="0" w:line="240" w:lineRule="auto"/>
        <w:ind w:left="1134" w:hanging="567"/>
        <w:rPr>
          <w:sz w:val="24"/>
        </w:rPr>
      </w:pPr>
      <w:r w:rsidRPr="009215ED">
        <w:rPr>
          <w:sz w:val="24"/>
        </w:rPr>
        <w:t>she did not believe that she could turn to her father for help in Republic of Ireland as he was a heavy drinker and she did not consider that this was a suitable or safe environment to reside with BK and his two siblings;</w:t>
      </w:r>
    </w:p>
    <w:p w:rsidR="009215ED" w:rsidRPr="009215ED" w:rsidRDefault="009215ED" w:rsidP="009215ED">
      <w:pPr>
        <w:pStyle w:val="ListParagraph"/>
        <w:tabs>
          <w:tab w:val="left" w:pos="567"/>
          <w:tab w:val="left" w:pos="1134"/>
          <w:tab w:val="left" w:pos="1701"/>
        </w:tabs>
        <w:spacing w:after="0" w:line="240" w:lineRule="auto"/>
        <w:ind w:left="0"/>
        <w:rPr>
          <w:sz w:val="24"/>
        </w:rPr>
      </w:pPr>
    </w:p>
    <w:p w:rsidR="009215ED" w:rsidRPr="009E414A" w:rsidRDefault="009215ED" w:rsidP="009E414A">
      <w:pPr>
        <w:pStyle w:val="ListParagraph"/>
        <w:numPr>
          <w:ilvl w:val="0"/>
          <w:numId w:val="11"/>
        </w:numPr>
        <w:tabs>
          <w:tab w:val="left" w:pos="567"/>
          <w:tab w:val="left" w:pos="1134"/>
          <w:tab w:val="left" w:pos="1701"/>
        </w:tabs>
        <w:spacing w:after="0" w:line="240" w:lineRule="auto"/>
        <w:ind w:left="1134" w:hanging="567"/>
        <w:rPr>
          <w:sz w:val="24"/>
        </w:rPr>
      </w:pPr>
      <w:proofErr w:type="gramStart"/>
      <w:r w:rsidRPr="009E414A">
        <w:rPr>
          <w:sz w:val="24"/>
        </w:rPr>
        <w:t>on</w:t>
      </w:r>
      <w:proofErr w:type="gramEnd"/>
      <w:r w:rsidRPr="009E414A">
        <w:rPr>
          <w:sz w:val="24"/>
        </w:rPr>
        <w:t xml:space="preserve"> coming to England she severed all ties with Republic of Ireland and had had no intention of returning.  The latter was evidenced by the fact that she closed her sole bank account in Republic of Ireland in the week preceding her return to England at the end of June, took steps to register her children for school in England in July 2013 and they attended school in England from September the same year.</w:t>
      </w:r>
    </w:p>
    <w:p w:rsidR="009215ED" w:rsidRPr="009215ED" w:rsidRDefault="009215ED" w:rsidP="009215ED">
      <w:pPr>
        <w:spacing w:after="0" w:line="240" w:lineRule="auto"/>
        <w:rPr>
          <w:sz w:val="24"/>
        </w:rPr>
      </w:pPr>
    </w:p>
    <w:p w:rsidR="009215ED" w:rsidRPr="009215ED" w:rsidRDefault="009215ED" w:rsidP="009215ED">
      <w:pPr>
        <w:spacing w:after="0" w:line="240" w:lineRule="auto"/>
        <w:ind w:left="567"/>
        <w:rPr>
          <w:i/>
          <w:sz w:val="24"/>
        </w:rPr>
      </w:pPr>
      <w:r w:rsidRPr="009215ED">
        <w:rPr>
          <w:sz w:val="24"/>
        </w:rPr>
        <w:t>The Court of Appeal found that BK had a genuine and sufficient link to the United Kingdom.</w:t>
      </w:r>
    </w:p>
    <w:p w:rsidR="009215ED" w:rsidRDefault="009215ED" w:rsidP="00404AD9">
      <w:pPr>
        <w:pStyle w:val="MainNums"/>
        <w:numPr>
          <w:ilvl w:val="0"/>
          <w:numId w:val="0"/>
        </w:numPr>
        <w:spacing w:before="0" w:after="0" w:line="240" w:lineRule="auto"/>
        <w:ind w:left="567" w:hanging="567"/>
        <w:rPr>
          <w:caps/>
          <w:kern w:val="0"/>
          <w:sz w:val="24"/>
          <w:szCs w:val="24"/>
        </w:rPr>
      </w:pPr>
    </w:p>
    <w:p w:rsidR="007A0743" w:rsidRPr="007A0743" w:rsidRDefault="007A0743" w:rsidP="007A0743">
      <w:pPr>
        <w:tabs>
          <w:tab w:val="left" w:pos="567"/>
          <w:tab w:val="left" w:pos="1134"/>
          <w:tab w:val="left" w:pos="1701"/>
        </w:tabs>
        <w:spacing w:after="0" w:line="240" w:lineRule="auto"/>
        <w:rPr>
          <w:b/>
          <w:sz w:val="24"/>
        </w:rPr>
      </w:pPr>
      <w:r>
        <w:rPr>
          <w:b/>
          <w:sz w:val="24"/>
        </w:rPr>
        <w:tab/>
      </w:r>
      <w:r w:rsidRPr="007A0743">
        <w:rPr>
          <w:b/>
          <w:sz w:val="24"/>
        </w:rPr>
        <w:t>Example 2</w:t>
      </w:r>
    </w:p>
    <w:p w:rsidR="007A0743" w:rsidRPr="007A0743" w:rsidRDefault="007A0743" w:rsidP="007A0743">
      <w:pPr>
        <w:tabs>
          <w:tab w:val="left" w:pos="567"/>
          <w:tab w:val="left" w:pos="1134"/>
          <w:tab w:val="left" w:pos="1701"/>
        </w:tabs>
        <w:spacing w:after="0" w:line="240" w:lineRule="auto"/>
        <w:rPr>
          <w:sz w:val="24"/>
        </w:rPr>
      </w:pPr>
    </w:p>
    <w:p w:rsidR="007A0743" w:rsidRDefault="007A0743" w:rsidP="007A0743">
      <w:pPr>
        <w:tabs>
          <w:tab w:val="left" w:pos="567"/>
          <w:tab w:val="left" w:pos="1134"/>
          <w:tab w:val="left" w:pos="1701"/>
        </w:tabs>
        <w:spacing w:after="0" w:line="240" w:lineRule="auto"/>
        <w:ind w:left="567" w:hanging="567"/>
        <w:rPr>
          <w:sz w:val="24"/>
        </w:rPr>
      </w:pPr>
      <w:r>
        <w:rPr>
          <w:sz w:val="24"/>
        </w:rPr>
        <w:tab/>
      </w:r>
      <w:r w:rsidRPr="007A0743">
        <w:rPr>
          <w:sz w:val="24"/>
        </w:rPr>
        <w:t xml:space="preserve">MM decided to move from Germany to the United Kingdom to live with her daughter, who </w:t>
      </w:r>
      <w:r>
        <w:rPr>
          <w:sz w:val="24"/>
        </w:rPr>
        <w:t xml:space="preserve">is a British citizen.  </w:t>
      </w:r>
      <w:r w:rsidRPr="007A0743">
        <w:rPr>
          <w:sz w:val="24"/>
        </w:rPr>
        <w:t>The Court of Appeal found as fact that</w:t>
      </w:r>
    </w:p>
    <w:p w:rsidR="007A0743" w:rsidRPr="007A0743" w:rsidRDefault="007A0743" w:rsidP="007A0743">
      <w:pPr>
        <w:tabs>
          <w:tab w:val="left" w:pos="567"/>
          <w:tab w:val="left" w:pos="1134"/>
          <w:tab w:val="left" w:pos="1701"/>
        </w:tabs>
        <w:spacing w:after="0" w:line="240" w:lineRule="auto"/>
        <w:ind w:left="567" w:hanging="567"/>
        <w:rPr>
          <w:i/>
          <w:sz w:val="24"/>
        </w:rPr>
      </w:pPr>
    </w:p>
    <w:p w:rsidR="007A0743" w:rsidRPr="007A0743" w:rsidRDefault="007A0743" w:rsidP="009E414A">
      <w:pPr>
        <w:pStyle w:val="ListParagraph"/>
        <w:numPr>
          <w:ilvl w:val="0"/>
          <w:numId w:val="12"/>
        </w:numPr>
        <w:tabs>
          <w:tab w:val="left" w:pos="567"/>
          <w:tab w:val="left" w:pos="1134"/>
          <w:tab w:val="left" w:pos="1701"/>
        </w:tabs>
        <w:spacing w:after="0" w:line="240" w:lineRule="auto"/>
        <w:ind w:left="1134" w:hanging="567"/>
        <w:rPr>
          <w:sz w:val="24"/>
        </w:rPr>
      </w:pPr>
      <w:r w:rsidRPr="007A0743">
        <w:rPr>
          <w:sz w:val="24"/>
        </w:rPr>
        <w:t>she suffered with several physical ailments including osteoporosis, rheumatoid arthritis, incontinence and high blood pressure, and used a catheter and a wheelchair;</w:t>
      </w:r>
    </w:p>
    <w:p w:rsidR="007A0743" w:rsidRDefault="007A0743" w:rsidP="009E414A">
      <w:pPr>
        <w:pStyle w:val="ListParagraph"/>
        <w:numPr>
          <w:ilvl w:val="0"/>
          <w:numId w:val="12"/>
        </w:numPr>
        <w:tabs>
          <w:tab w:val="left" w:pos="567"/>
          <w:tab w:val="left" w:pos="1134"/>
          <w:tab w:val="left" w:pos="1701"/>
        </w:tabs>
        <w:spacing w:after="0" w:line="240" w:lineRule="auto"/>
        <w:ind w:left="1134" w:hanging="567"/>
        <w:rPr>
          <w:sz w:val="24"/>
        </w:rPr>
      </w:pPr>
      <w:r w:rsidRPr="007A0743">
        <w:rPr>
          <w:sz w:val="24"/>
        </w:rPr>
        <w:lastRenderedPageBreak/>
        <w:t>she required support with mobility, washing, toilet, cooking meals, dressing and administering medication;</w:t>
      </w:r>
    </w:p>
    <w:p w:rsidR="007A0743" w:rsidRPr="007A0743" w:rsidRDefault="007A0743" w:rsidP="007A0743">
      <w:pPr>
        <w:pStyle w:val="ListParagraph"/>
        <w:tabs>
          <w:tab w:val="left" w:pos="567"/>
          <w:tab w:val="left" w:pos="1134"/>
          <w:tab w:val="left" w:pos="1701"/>
        </w:tabs>
        <w:spacing w:after="0" w:line="240" w:lineRule="auto"/>
        <w:ind w:left="1134" w:hanging="1134"/>
        <w:rPr>
          <w:sz w:val="24"/>
        </w:rPr>
      </w:pPr>
    </w:p>
    <w:p w:rsidR="007A0743" w:rsidRPr="007A0743" w:rsidRDefault="007A0743" w:rsidP="009E414A">
      <w:pPr>
        <w:pStyle w:val="ListParagraph"/>
        <w:numPr>
          <w:ilvl w:val="0"/>
          <w:numId w:val="12"/>
        </w:numPr>
        <w:tabs>
          <w:tab w:val="left" w:pos="567"/>
          <w:tab w:val="left" w:pos="1134"/>
          <w:tab w:val="left" w:pos="1701"/>
        </w:tabs>
        <w:spacing w:after="0" w:line="240" w:lineRule="auto"/>
        <w:ind w:left="1134" w:hanging="567"/>
        <w:rPr>
          <w:sz w:val="24"/>
        </w:rPr>
      </w:pPr>
      <w:proofErr w:type="gramStart"/>
      <w:r w:rsidRPr="007A0743">
        <w:rPr>
          <w:sz w:val="24"/>
        </w:rPr>
        <w:t>she</w:t>
      </w:r>
      <w:proofErr w:type="gramEnd"/>
      <w:r w:rsidRPr="007A0743">
        <w:rPr>
          <w:sz w:val="24"/>
        </w:rPr>
        <w:t xml:space="preserve"> moved to the United Kingdom to join her daughter, who was a British citizen and would provide daily care for her.</w:t>
      </w:r>
    </w:p>
    <w:p w:rsidR="007A0743" w:rsidRPr="007A0743" w:rsidRDefault="007A0743" w:rsidP="007A0743">
      <w:pPr>
        <w:tabs>
          <w:tab w:val="left" w:pos="567"/>
          <w:tab w:val="left" w:pos="1134"/>
          <w:tab w:val="left" w:pos="1701"/>
        </w:tabs>
        <w:spacing w:after="0" w:line="240" w:lineRule="auto"/>
        <w:rPr>
          <w:sz w:val="24"/>
        </w:rPr>
      </w:pPr>
    </w:p>
    <w:p w:rsidR="007A0743" w:rsidRPr="007A0743" w:rsidRDefault="007A0743" w:rsidP="007A0743">
      <w:pPr>
        <w:tabs>
          <w:tab w:val="left" w:pos="567"/>
          <w:tab w:val="left" w:pos="1134"/>
          <w:tab w:val="left" w:pos="1701"/>
        </w:tabs>
        <w:spacing w:after="0" w:line="240" w:lineRule="auto"/>
        <w:ind w:left="567" w:hanging="567"/>
        <w:rPr>
          <w:sz w:val="24"/>
        </w:rPr>
      </w:pPr>
      <w:r>
        <w:rPr>
          <w:sz w:val="24"/>
        </w:rPr>
        <w:tab/>
      </w:r>
      <w:r w:rsidRPr="007A0743">
        <w:rPr>
          <w:sz w:val="24"/>
        </w:rPr>
        <w:t>The Court of Appeal decided she had a genuine and sufficient link to the United Kingdom.</w:t>
      </w:r>
    </w:p>
    <w:p w:rsidR="007A0743" w:rsidRPr="007A0743" w:rsidRDefault="007A0743" w:rsidP="007A0743">
      <w:pPr>
        <w:tabs>
          <w:tab w:val="left" w:pos="567"/>
          <w:tab w:val="left" w:pos="1134"/>
          <w:tab w:val="left" w:pos="1701"/>
        </w:tabs>
        <w:spacing w:after="0" w:line="240" w:lineRule="auto"/>
        <w:rPr>
          <w:sz w:val="24"/>
        </w:rPr>
      </w:pPr>
    </w:p>
    <w:p w:rsidR="007A0743" w:rsidRPr="007A0743" w:rsidRDefault="007A0743" w:rsidP="007A0743">
      <w:pPr>
        <w:tabs>
          <w:tab w:val="left" w:pos="567"/>
          <w:tab w:val="left" w:pos="1134"/>
          <w:tab w:val="left" w:pos="1701"/>
        </w:tabs>
        <w:spacing w:after="0" w:line="240" w:lineRule="auto"/>
        <w:rPr>
          <w:b/>
          <w:sz w:val="24"/>
        </w:rPr>
      </w:pPr>
      <w:r>
        <w:rPr>
          <w:b/>
          <w:sz w:val="24"/>
        </w:rPr>
        <w:tab/>
      </w:r>
      <w:r w:rsidRPr="007A0743">
        <w:rPr>
          <w:b/>
          <w:sz w:val="24"/>
        </w:rPr>
        <w:t>Example 3</w:t>
      </w:r>
    </w:p>
    <w:p w:rsidR="007A0743" w:rsidRPr="007A0743" w:rsidRDefault="007A0743" w:rsidP="007A0743">
      <w:pPr>
        <w:tabs>
          <w:tab w:val="left" w:pos="567"/>
          <w:tab w:val="left" w:pos="1134"/>
          <w:tab w:val="left" w:pos="1701"/>
        </w:tabs>
        <w:spacing w:after="0" w:line="240" w:lineRule="auto"/>
        <w:rPr>
          <w:sz w:val="24"/>
        </w:rPr>
      </w:pPr>
    </w:p>
    <w:p w:rsidR="007A0743" w:rsidRPr="007A0743" w:rsidRDefault="007A0743" w:rsidP="007A0743">
      <w:pPr>
        <w:tabs>
          <w:tab w:val="left" w:pos="567"/>
          <w:tab w:val="left" w:pos="1134"/>
          <w:tab w:val="left" w:pos="1701"/>
        </w:tabs>
        <w:spacing w:after="0" w:line="240" w:lineRule="auto"/>
        <w:ind w:left="567" w:hanging="567"/>
        <w:rPr>
          <w:sz w:val="24"/>
        </w:rPr>
      </w:pPr>
      <w:r>
        <w:rPr>
          <w:sz w:val="24"/>
        </w:rPr>
        <w:tab/>
      </w:r>
      <w:r w:rsidRPr="007A0743">
        <w:rPr>
          <w:sz w:val="24"/>
        </w:rPr>
        <w:t xml:space="preserve">Estelle decides to move from France to the United Kingdom. </w:t>
      </w:r>
      <w:r>
        <w:rPr>
          <w:sz w:val="24"/>
        </w:rPr>
        <w:t xml:space="preserve"> </w:t>
      </w:r>
      <w:r w:rsidRPr="007A0743">
        <w:rPr>
          <w:sz w:val="24"/>
        </w:rPr>
        <w:t>She makes a claim for Disability Living Allowance care component</w:t>
      </w:r>
      <w:r>
        <w:rPr>
          <w:sz w:val="24"/>
        </w:rPr>
        <w:t xml:space="preserve"> three days after arriving.  </w:t>
      </w:r>
      <w:r w:rsidRPr="007A0743">
        <w:rPr>
          <w:sz w:val="24"/>
        </w:rPr>
        <w:t xml:space="preserve">She states that her intention is to live here permanently so that she can be closer to </w:t>
      </w:r>
      <w:r>
        <w:rPr>
          <w:sz w:val="24"/>
        </w:rPr>
        <w:t xml:space="preserve">cousins who already live here.  </w:t>
      </w:r>
      <w:r w:rsidRPr="007A0743">
        <w:rPr>
          <w:sz w:val="24"/>
        </w:rPr>
        <w:t>Her cousins will not be providing her care, whereas in France, her sister assisted with her care.</w:t>
      </w:r>
      <w:r>
        <w:rPr>
          <w:sz w:val="24"/>
        </w:rPr>
        <w:t xml:space="preserve">  </w:t>
      </w:r>
      <w:r w:rsidRPr="007A0743">
        <w:rPr>
          <w:sz w:val="24"/>
        </w:rPr>
        <w:t xml:space="preserve">She has not identified care assistance in the United Kingdom. </w:t>
      </w:r>
      <w:r>
        <w:rPr>
          <w:sz w:val="24"/>
        </w:rPr>
        <w:t xml:space="preserve"> </w:t>
      </w:r>
      <w:r w:rsidRPr="007A0743">
        <w:rPr>
          <w:sz w:val="24"/>
        </w:rPr>
        <w:t>She has not yet closed all of her French bank accounts, and still has belongings in a</w:t>
      </w:r>
      <w:r>
        <w:rPr>
          <w:sz w:val="24"/>
        </w:rPr>
        <w:t xml:space="preserve"> friend’s spare room in France.  </w:t>
      </w:r>
      <w:r w:rsidRPr="007A0743">
        <w:rPr>
          <w:sz w:val="24"/>
        </w:rPr>
        <w:t>She has opened one current account in the United Kingdom, but is staying in a B&amp;B as she has not organised r</w:t>
      </w:r>
      <w:r>
        <w:rPr>
          <w:sz w:val="24"/>
        </w:rPr>
        <w:t xml:space="preserve">ental of a property to live in.  </w:t>
      </w:r>
      <w:r w:rsidRPr="007A0743">
        <w:rPr>
          <w:sz w:val="24"/>
        </w:rPr>
        <w:t>She has not made any claim to any other United Kingdom benefit and she has not previously worked or lived in the United Kingdom</w:t>
      </w:r>
      <w:r>
        <w:rPr>
          <w:sz w:val="24"/>
        </w:rPr>
        <w:t xml:space="preserve">.  </w:t>
      </w:r>
      <w:r w:rsidRPr="007A0743">
        <w:rPr>
          <w:sz w:val="24"/>
        </w:rPr>
        <w:t>The decision maker determines that she does not yet have a genuine and sufficient link to the United Kingdom, despite her stated intention to settle here in the long term.</w:t>
      </w:r>
    </w:p>
    <w:p w:rsidR="009215ED" w:rsidRDefault="009215ED" w:rsidP="00404AD9">
      <w:pPr>
        <w:pStyle w:val="MainNums"/>
        <w:numPr>
          <w:ilvl w:val="0"/>
          <w:numId w:val="0"/>
        </w:numPr>
        <w:spacing w:before="0" w:after="0" w:line="240" w:lineRule="auto"/>
        <w:ind w:left="567" w:hanging="567"/>
        <w:rPr>
          <w:caps/>
          <w:kern w:val="0"/>
          <w:sz w:val="24"/>
          <w:szCs w:val="24"/>
        </w:rPr>
      </w:pPr>
    </w:p>
    <w:p w:rsidR="00334C34" w:rsidRDefault="007A0743" w:rsidP="00334C34">
      <w:pPr>
        <w:pStyle w:val="MainNums"/>
        <w:numPr>
          <w:ilvl w:val="0"/>
          <w:numId w:val="0"/>
        </w:numPr>
        <w:spacing w:before="0" w:after="0" w:line="240" w:lineRule="auto"/>
        <w:ind w:firstLine="567"/>
        <w:rPr>
          <w:rFonts w:cs="Arial"/>
          <w:sz w:val="24"/>
        </w:rPr>
      </w:pPr>
      <w:r>
        <w:rPr>
          <w:b/>
          <w:caps/>
          <w:kern w:val="0"/>
          <w:sz w:val="24"/>
          <w:szCs w:val="24"/>
        </w:rPr>
        <w:t>APPLYING THE DECISION OF THE COURT OF APPEAL</w:t>
      </w:r>
    </w:p>
    <w:p w:rsidR="00836480" w:rsidRDefault="00836480" w:rsidP="00334C34">
      <w:pPr>
        <w:spacing w:after="0" w:line="240" w:lineRule="auto"/>
        <w:ind w:left="567" w:hanging="567"/>
        <w:rPr>
          <w:caps/>
          <w:sz w:val="24"/>
        </w:rPr>
      </w:pPr>
    </w:p>
    <w:p w:rsidR="00334C34" w:rsidRPr="007A0743" w:rsidRDefault="003B3720" w:rsidP="00334C34">
      <w:pPr>
        <w:spacing w:after="0" w:line="240" w:lineRule="auto"/>
        <w:ind w:left="567" w:hanging="567"/>
        <w:rPr>
          <w:rFonts w:cs="Arial"/>
          <w:sz w:val="24"/>
        </w:rPr>
      </w:pPr>
      <w:r w:rsidRPr="003B3720">
        <w:rPr>
          <w:caps/>
          <w:sz w:val="24"/>
        </w:rPr>
        <w:t>1</w:t>
      </w:r>
      <w:r w:rsidR="007A0743">
        <w:rPr>
          <w:caps/>
          <w:sz w:val="24"/>
        </w:rPr>
        <w:t>0</w:t>
      </w:r>
      <w:r>
        <w:rPr>
          <w:caps/>
          <w:sz w:val="24"/>
        </w:rPr>
        <w:tab/>
      </w:r>
      <w:r w:rsidR="007A0743" w:rsidRPr="007A0743">
        <w:rPr>
          <w:sz w:val="24"/>
        </w:rPr>
        <w:t>The effect of the decision is that decision makers are to read</w:t>
      </w:r>
      <w:r w:rsidR="007A0743" w:rsidRPr="007A0743">
        <w:rPr>
          <w:rFonts w:cs="Arial"/>
          <w:color w:val="333335"/>
          <w:spacing w:val="3"/>
          <w:sz w:val="24"/>
          <w:lang w:val="en" w:eastAsia="en-GB"/>
        </w:rPr>
        <w:t xml:space="preserve"> </w:t>
      </w:r>
      <w:r w:rsidR="007A0743" w:rsidRPr="007A0743">
        <w:rPr>
          <w:sz w:val="24"/>
        </w:rPr>
        <w:t>the phrase “the United Kingdom social security system” as simply saying “the United Kingdom” when considering a genuine and sufficient link</w:t>
      </w:r>
      <w:r w:rsidR="007A0743">
        <w:rPr>
          <w:sz w:val="24"/>
        </w:rPr>
        <w:t xml:space="preserve">.  </w:t>
      </w:r>
      <w:r w:rsidR="007A0743" w:rsidRPr="007A0743">
        <w:rPr>
          <w:sz w:val="24"/>
        </w:rPr>
        <w:t xml:space="preserve">This change therefore broadened the factors set out in ADM paragraph C2130 </w:t>
      </w:r>
      <w:proofErr w:type="gramStart"/>
      <w:r w:rsidR="007A0743" w:rsidRPr="007A0743">
        <w:rPr>
          <w:sz w:val="24"/>
        </w:rPr>
        <w:t>et</w:t>
      </w:r>
      <w:proofErr w:type="gramEnd"/>
      <w:r w:rsidR="007A0743" w:rsidRPr="007A0743">
        <w:rPr>
          <w:sz w:val="24"/>
        </w:rPr>
        <w:t xml:space="preserve"> </w:t>
      </w:r>
      <w:proofErr w:type="spellStart"/>
      <w:r w:rsidR="007A0743" w:rsidRPr="007A0743">
        <w:rPr>
          <w:sz w:val="24"/>
        </w:rPr>
        <w:t>seq</w:t>
      </w:r>
      <w:proofErr w:type="spellEnd"/>
      <w:r w:rsidR="007A0743" w:rsidRPr="007A0743">
        <w:rPr>
          <w:sz w:val="24"/>
        </w:rPr>
        <w:t xml:space="preserve"> which are to be taken into account when considering whether a claimant has</w:t>
      </w:r>
      <w:r w:rsidR="007A0743">
        <w:rPr>
          <w:sz w:val="24"/>
        </w:rPr>
        <w:t xml:space="preserve"> a genuine and sufficient link.  </w:t>
      </w:r>
      <w:r w:rsidR="007A0743" w:rsidRPr="007A0743">
        <w:rPr>
          <w:sz w:val="24"/>
        </w:rPr>
        <w:t>Decision makers should consider additional factors such as;</w:t>
      </w:r>
    </w:p>
    <w:p w:rsidR="00334C34" w:rsidRPr="00C63ABA" w:rsidRDefault="00334C34" w:rsidP="00334C34">
      <w:pPr>
        <w:spacing w:after="0" w:line="240" w:lineRule="auto"/>
        <w:rPr>
          <w:rFonts w:cs="Arial"/>
          <w:sz w:val="24"/>
        </w:rPr>
      </w:pPr>
    </w:p>
    <w:p w:rsidR="00334C34" w:rsidRPr="009E414A" w:rsidRDefault="007A0743" w:rsidP="009E414A">
      <w:pPr>
        <w:pStyle w:val="ListParagraph"/>
        <w:numPr>
          <w:ilvl w:val="0"/>
          <w:numId w:val="13"/>
        </w:numPr>
        <w:tabs>
          <w:tab w:val="left" w:pos="1134"/>
        </w:tabs>
        <w:spacing w:after="0" w:line="240" w:lineRule="auto"/>
        <w:ind w:left="1134" w:hanging="567"/>
        <w:rPr>
          <w:sz w:val="24"/>
        </w:rPr>
      </w:pPr>
      <w:r w:rsidRPr="009E414A">
        <w:rPr>
          <w:sz w:val="24"/>
        </w:rPr>
        <w:t>Whether the claimant has any United Kingdom bank accounts (or other financial products)</w:t>
      </w:r>
    </w:p>
    <w:p w:rsidR="004C22B3" w:rsidRPr="007A0743" w:rsidRDefault="004C22B3" w:rsidP="007A0743">
      <w:pPr>
        <w:tabs>
          <w:tab w:val="left" w:pos="1134"/>
        </w:tabs>
        <w:spacing w:after="0" w:line="240" w:lineRule="auto"/>
        <w:ind w:left="1134" w:hanging="567"/>
        <w:rPr>
          <w:rFonts w:cs="Arial"/>
          <w:sz w:val="24"/>
        </w:rPr>
      </w:pPr>
    </w:p>
    <w:p w:rsidR="00334C34" w:rsidRPr="009E414A" w:rsidRDefault="004C22B3" w:rsidP="009E414A">
      <w:pPr>
        <w:pStyle w:val="ListParagraph"/>
        <w:numPr>
          <w:ilvl w:val="0"/>
          <w:numId w:val="13"/>
        </w:numPr>
        <w:tabs>
          <w:tab w:val="left" w:pos="1134"/>
        </w:tabs>
        <w:spacing w:after="0" w:line="240" w:lineRule="auto"/>
        <w:ind w:left="1134" w:hanging="567"/>
        <w:rPr>
          <w:rFonts w:cs="Arial"/>
          <w:b/>
          <w:sz w:val="24"/>
        </w:rPr>
      </w:pPr>
      <w:r w:rsidRPr="009E414A">
        <w:rPr>
          <w:sz w:val="24"/>
        </w:rPr>
        <w:t>Whether they have any United Kingdom property (owned or rented)</w:t>
      </w:r>
    </w:p>
    <w:p w:rsidR="004C22B3" w:rsidRPr="004C22B3" w:rsidRDefault="004C22B3" w:rsidP="004C22B3">
      <w:pPr>
        <w:tabs>
          <w:tab w:val="left" w:pos="1134"/>
        </w:tabs>
        <w:spacing w:after="0" w:line="240" w:lineRule="auto"/>
        <w:ind w:left="567"/>
        <w:rPr>
          <w:rFonts w:cs="Arial"/>
          <w:sz w:val="24"/>
        </w:rPr>
      </w:pPr>
    </w:p>
    <w:p w:rsidR="004C22B3" w:rsidRPr="009E414A" w:rsidRDefault="004C22B3" w:rsidP="009E414A">
      <w:pPr>
        <w:pStyle w:val="ListParagraph"/>
        <w:numPr>
          <w:ilvl w:val="0"/>
          <w:numId w:val="13"/>
        </w:numPr>
        <w:tabs>
          <w:tab w:val="left" w:pos="1134"/>
        </w:tabs>
        <w:spacing w:after="0" w:line="240" w:lineRule="auto"/>
        <w:ind w:left="1134" w:hanging="567"/>
        <w:rPr>
          <w:rFonts w:cs="Arial"/>
          <w:sz w:val="24"/>
        </w:rPr>
      </w:pPr>
      <w:r w:rsidRPr="009E414A">
        <w:rPr>
          <w:sz w:val="24"/>
        </w:rPr>
        <w:t>Whether they have any other family members in the United Kingdom (and frequency of visits to them)</w:t>
      </w:r>
    </w:p>
    <w:p w:rsidR="004C22B3" w:rsidRPr="004C22B3" w:rsidRDefault="004C22B3" w:rsidP="004C22B3">
      <w:pPr>
        <w:tabs>
          <w:tab w:val="left" w:pos="1134"/>
        </w:tabs>
        <w:spacing w:after="0" w:line="240" w:lineRule="auto"/>
        <w:ind w:left="567"/>
        <w:rPr>
          <w:rFonts w:cs="Arial"/>
          <w:sz w:val="24"/>
        </w:rPr>
      </w:pPr>
    </w:p>
    <w:p w:rsidR="004C22B3" w:rsidRPr="009E414A" w:rsidRDefault="004C22B3" w:rsidP="009E414A">
      <w:pPr>
        <w:pStyle w:val="ListParagraph"/>
        <w:numPr>
          <w:ilvl w:val="0"/>
          <w:numId w:val="13"/>
        </w:numPr>
        <w:tabs>
          <w:tab w:val="left" w:pos="1134"/>
        </w:tabs>
        <w:spacing w:after="0" w:line="240" w:lineRule="auto"/>
        <w:ind w:left="1134" w:hanging="567"/>
        <w:rPr>
          <w:rFonts w:cs="Arial"/>
          <w:sz w:val="24"/>
        </w:rPr>
      </w:pPr>
      <w:r w:rsidRPr="009E414A">
        <w:rPr>
          <w:sz w:val="24"/>
        </w:rPr>
        <w:t>For “out-goers” – the number of years they have lived and worked in the United Kingdom prior to leaving.</w:t>
      </w:r>
    </w:p>
    <w:p w:rsidR="0073236B" w:rsidRDefault="0073236B" w:rsidP="0073236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4C22B3" w:rsidRPr="00EE497B" w:rsidRDefault="004C22B3" w:rsidP="004C22B3">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EE497B">
        <w:rPr>
          <w:rFonts w:cs="Arial"/>
          <w:spacing w:val="3"/>
          <w:sz w:val="24"/>
          <w:szCs w:val="24"/>
          <w:lang w:val="en" w:eastAsia="en-GB"/>
        </w:rPr>
        <w:t xml:space="preserve">However, this list is </w:t>
      </w:r>
      <w:r w:rsidRPr="00EE497B">
        <w:rPr>
          <w:rFonts w:cs="Arial"/>
          <w:b/>
          <w:bCs/>
          <w:spacing w:val="3"/>
          <w:sz w:val="24"/>
          <w:szCs w:val="24"/>
          <w:bdr w:val="none" w:sz="0" w:space="0" w:color="auto" w:frame="1"/>
          <w:lang w:val="en" w:eastAsia="en-GB"/>
        </w:rPr>
        <w:t>non-prescriptive and non-exhaustive</w:t>
      </w:r>
      <w:r w:rsidRPr="00EE497B">
        <w:rPr>
          <w:rFonts w:cs="Arial"/>
          <w:spacing w:val="3"/>
          <w:sz w:val="24"/>
          <w:szCs w:val="24"/>
          <w:lang w:val="en" w:eastAsia="en-GB"/>
        </w:rPr>
        <w:t xml:space="preserve">; decision makers should weigh up any evidence provided to them by the claimant which they state shows a genuine and sufficient link to the </w:t>
      </w:r>
      <w:r w:rsidRPr="00EE497B">
        <w:rPr>
          <w:sz w:val="24"/>
          <w:szCs w:val="24"/>
        </w:rPr>
        <w:t>United Kingdom</w:t>
      </w:r>
      <w:r w:rsidRPr="00EE497B">
        <w:rPr>
          <w:rFonts w:cs="Arial"/>
          <w:spacing w:val="3"/>
          <w:sz w:val="24"/>
          <w:szCs w:val="24"/>
          <w:lang w:val="en" w:eastAsia="en-GB"/>
        </w:rPr>
        <w:t>.  For difficult and/or borderline cases decision makers can refer the case to Decision Making Services for guidance.</w:t>
      </w:r>
    </w:p>
    <w:p w:rsidR="00AF630B" w:rsidRDefault="0063789A" w:rsidP="00AF630B">
      <w:pPr>
        <w:pStyle w:val="Topic"/>
        <w:tabs>
          <w:tab w:val="left" w:pos="567"/>
          <w:tab w:val="left" w:pos="1134"/>
          <w:tab w:val="left" w:pos="1701"/>
          <w:tab w:val="left" w:pos="6237"/>
        </w:tabs>
        <w:spacing w:before="0" w:after="0" w:line="240" w:lineRule="auto"/>
        <w:rPr>
          <w:szCs w:val="24"/>
        </w:rPr>
      </w:pPr>
      <w:r>
        <w:rPr>
          <w:szCs w:val="24"/>
        </w:rPr>
        <w:lastRenderedPageBreak/>
        <w:tab/>
      </w:r>
      <w:r w:rsidR="00AF630B">
        <w:rPr>
          <w:szCs w:val="24"/>
        </w:rPr>
        <w:t>Annotations</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t>Please annotate the</w:t>
      </w:r>
      <w:r w:rsidR="00134759">
        <w:rPr>
          <w:sz w:val="24"/>
          <w:szCs w:val="24"/>
        </w:rPr>
        <w:t xml:space="preserve"> number of this memo (ADM Memo </w:t>
      </w:r>
      <w:r w:rsidR="004C22B3">
        <w:rPr>
          <w:sz w:val="24"/>
          <w:szCs w:val="24"/>
        </w:rPr>
        <w:t>10/19) against the following</w:t>
      </w:r>
      <w:r>
        <w:rPr>
          <w:sz w:val="24"/>
          <w:szCs w:val="24"/>
        </w:rPr>
        <w:t xml:space="preserve"> paragraphs:</w:t>
      </w:r>
      <w:r w:rsidR="004C22B3">
        <w:rPr>
          <w:sz w:val="24"/>
          <w:szCs w:val="24"/>
        </w:rPr>
        <w:t xml:space="preserve">  C2130</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r>
        <w:rPr>
          <w:sz w:val="24"/>
          <w:szCs w:val="24"/>
        </w:rPr>
        <w:tab/>
      </w:r>
      <w:r>
        <w:rPr>
          <w:b/>
          <w:sz w:val="24"/>
          <w:szCs w:val="24"/>
        </w:rPr>
        <w:t>CONTACTS</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r>
        <w:rPr>
          <w:sz w:val="24"/>
        </w:rPr>
        <w:tab/>
        <w:t>If you have any queries about this memo, please contact:</w:t>
      </w:r>
    </w:p>
    <w:p w:rsidR="00AF630B" w:rsidRDefault="00AF630B" w:rsidP="00AF630B">
      <w:pPr>
        <w:tabs>
          <w:tab w:val="left" w:pos="567"/>
          <w:tab w:val="left" w:pos="1134"/>
          <w:tab w:val="left" w:pos="1701"/>
          <w:tab w:val="left" w:pos="6237"/>
        </w:tabs>
        <w:spacing w:after="0" w:line="240" w:lineRule="auto"/>
        <w:rPr>
          <w:sz w:val="24"/>
        </w:rPr>
      </w:pPr>
    </w:p>
    <w:p w:rsidR="00134759" w:rsidRPr="00280DC4" w:rsidRDefault="00AF630B" w:rsidP="00134759">
      <w:pPr>
        <w:tabs>
          <w:tab w:val="left" w:pos="567"/>
          <w:tab w:val="left" w:pos="1134"/>
          <w:tab w:val="left" w:pos="1701"/>
          <w:tab w:val="left" w:pos="2268"/>
        </w:tabs>
        <w:spacing w:after="0" w:line="240" w:lineRule="auto"/>
        <w:rPr>
          <w:rFonts w:cs="Arial"/>
          <w:sz w:val="24"/>
        </w:rPr>
      </w:pPr>
      <w:r>
        <w:rPr>
          <w:sz w:val="24"/>
        </w:rPr>
        <w:tab/>
      </w:r>
      <w:r w:rsidR="00134759" w:rsidRPr="00280DC4">
        <w:rPr>
          <w:rFonts w:cs="Arial"/>
          <w:sz w:val="24"/>
        </w:rPr>
        <w:t>Decision Making Services</w:t>
      </w:r>
    </w:p>
    <w:p w:rsidR="004C22B3" w:rsidRDefault="00134759" w:rsidP="00134759">
      <w:pPr>
        <w:tabs>
          <w:tab w:val="left" w:pos="567"/>
          <w:tab w:val="left" w:pos="1134"/>
          <w:tab w:val="left" w:pos="1701"/>
          <w:tab w:val="left" w:pos="2268"/>
        </w:tabs>
        <w:spacing w:after="0" w:line="240" w:lineRule="auto"/>
        <w:rPr>
          <w:rFonts w:cs="Arial"/>
          <w:sz w:val="24"/>
        </w:rPr>
      </w:pPr>
      <w:r>
        <w:rPr>
          <w:rFonts w:cs="Arial"/>
          <w:sz w:val="24"/>
        </w:rPr>
        <w:tab/>
      </w:r>
      <w:r w:rsidR="004C22B3">
        <w:rPr>
          <w:rFonts w:cs="Arial"/>
          <w:sz w:val="24"/>
        </w:rPr>
        <w:t>Section 5</w:t>
      </w:r>
    </w:p>
    <w:p w:rsidR="00134759" w:rsidRPr="00280DC4" w:rsidRDefault="00134759" w:rsidP="00134759">
      <w:pPr>
        <w:tabs>
          <w:tab w:val="left" w:pos="567"/>
          <w:tab w:val="left" w:pos="1134"/>
          <w:tab w:val="left" w:pos="1701"/>
          <w:tab w:val="left" w:pos="2268"/>
        </w:tabs>
        <w:spacing w:after="0" w:line="240" w:lineRule="auto"/>
        <w:rPr>
          <w:rFonts w:cs="Arial"/>
          <w:sz w:val="24"/>
        </w:rPr>
      </w:pPr>
      <w:r>
        <w:rPr>
          <w:rFonts w:cs="Arial"/>
          <w:sz w:val="24"/>
        </w:rPr>
        <w:tab/>
        <w:t>5</w:t>
      </w:r>
      <w:r w:rsidR="004C22B3">
        <w:rPr>
          <w:rFonts w:cs="Arial"/>
          <w:sz w:val="24"/>
        </w:rPr>
        <w:t xml:space="preserve">th </w:t>
      </w:r>
      <w:r>
        <w:rPr>
          <w:rFonts w:cs="Arial"/>
          <w:sz w:val="24"/>
        </w:rPr>
        <w:t>Floor</w:t>
      </w:r>
    </w:p>
    <w:p w:rsidR="00134759" w:rsidRPr="00280DC4" w:rsidRDefault="00134759" w:rsidP="00134759">
      <w:pPr>
        <w:tabs>
          <w:tab w:val="left" w:pos="567"/>
          <w:tab w:val="left" w:pos="1134"/>
          <w:tab w:val="left" w:pos="1701"/>
          <w:tab w:val="left" w:pos="2268"/>
        </w:tabs>
        <w:spacing w:after="0" w:line="240" w:lineRule="auto"/>
        <w:rPr>
          <w:rFonts w:cs="Arial"/>
          <w:sz w:val="24"/>
        </w:rPr>
      </w:pPr>
      <w:r>
        <w:rPr>
          <w:rFonts w:cs="Arial"/>
          <w:sz w:val="24"/>
        </w:rPr>
        <w:tab/>
        <w:t>9 Lanyon</w:t>
      </w:r>
      <w:r w:rsidRPr="00280DC4">
        <w:rPr>
          <w:rFonts w:cs="Arial"/>
          <w:sz w:val="24"/>
        </w:rPr>
        <w:t xml:space="preserve"> Place</w:t>
      </w:r>
    </w:p>
    <w:p w:rsidR="00134759" w:rsidRPr="00280DC4" w:rsidRDefault="00134759" w:rsidP="00134759">
      <w:pPr>
        <w:tabs>
          <w:tab w:val="left" w:pos="567"/>
          <w:tab w:val="left" w:pos="1134"/>
          <w:tab w:val="left" w:pos="1701"/>
          <w:tab w:val="left" w:pos="2268"/>
        </w:tabs>
        <w:spacing w:after="0" w:line="240" w:lineRule="auto"/>
        <w:rPr>
          <w:rFonts w:cs="Arial"/>
          <w:sz w:val="24"/>
        </w:rPr>
      </w:pPr>
      <w:r>
        <w:rPr>
          <w:rFonts w:cs="Arial"/>
          <w:sz w:val="24"/>
        </w:rPr>
        <w:tab/>
      </w:r>
      <w:r w:rsidRPr="00280DC4">
        <w:rPr>
          <w:rFonts w:cs="Arial"/>
          <w:sz w:val="24"/>
        </w:rPr>
        <w:t>Belfast</w:t>
      </w:r>
    </w:p>
    <w:p w:rsidR="00134759" w:rsidRPr="00280DC4" w:rsidRDefault="00134759" w:rsidP="00134759">
      <w:pPr>
        <w:tabs>
          <w:tab w:val="left" w:pos="567"/>
          <w:tab w:val="left" w:pos="1134"/>
          <w:tab w:val="left" w:pos="1701"/>
          <w:tab w:val="left" w:pos="2268"/>
        </w:tabs>
        <w:spacing w:after="0" w:line="240" w:lineRule="auto"/>
        <w:rPr>
          <w:rFonts w:cs="Arial"/>
          <w:sz w:val="24"/>
        </w:rPr>
      </w:pPr>
      <w:r>
        <w:rPr>
          <w:rFonts w:cs="Arial"/>
          <w:sz w:val="24"/>
        </w:rPr>
        <w:tab/>
        <w:t>BT1 3LP</w:t>
      </w:r>
    </w:p>
    <w:p w:rsidR="00134759" w:rsidRPr="00280DC4" w:rsidRDefault="00134759" w:rsidP="00134759">
      <w:pPr>
        <w:tabs>
          <w:tab w:val="left" w:pos="567"/>
          <w:tab w:val="left" w:pos="1134"/>
          <w:tab w:val="left" w:pos="1701"/>
          <w:tab w:val="left" w:pos="2268"/>
        </w:tabs>
        <w:spacing w:after="0" w:line="240" w:lineRule="auto"/>
        <w:rPr>
          <w:rFonts w:cs="Arial"/>
          <w:sz w:val="24"/>
        </w:rPr>
      </w:pPr>
    </w:p>
    <w:p w:rsidR="00134759" w:rsidRDefault="004C22B3" w:rsidP="00134759">
      <w:pPr>
        <w:tabs>
          <w:tab w:val="left" w:pos="567"/>
          <w:tab w:val="left" w:pos="1134"/>
          <w:tab w:val="left" w:pos="1701"/>
          <w:tab w:val="left" w:pos="2268"/>
        </w:tabs>
        <w:spacing w:after="0" w:line="240" w:lineRule="auto"/>
        <w:rPr>
          <w:rFonts w:cs="Arial"/>
          <w:sz w:val="24"/>
        </w:rPr>
      </w:pPr>
      <w:r>
        <w:rPr>
          <w:rFonts w:cs="Arial"/>
          <w:sz w:val="24"/>
        </w:rPr>
        <w:tab/>
        <w:t>Telephone: (02890) 829327, 829336, 829069</w:t>
      </w:r>
    </w:p>
    <w:p w:rsidR="00134759" w:rsidRDefault="00134759" w:rsidP="00134759">
      <w:pPr>
        <w:tabs>
          <w:tab w:val="left" w:pos="567"/>
          <w:tab w:val="left" w:pos="1134"/>
          <w:tab w:val="left" w:pos="1701"/>
          <w:tab w:val="left" w:pos="2268"/>
        </w:tabs>
        <w:spacing w:after="0" w:line="240" w:lineRule="auto"/>
        <w:rPr>
          <w:rFonts w:cs="Arial"/>
          <w:sz w:val="24"/>
        </w:rPr>
      </w:pPr>
    </w:p>
    <w:p w:rsidR="00AF630B" w:rsidRDefault="00134759" w:rsidP="00AF630B">
      <w:pPr>
        <w:tabs>
          <w:tab w:val="left" w:pos="567"/>
          <w:tab w:val="left" w:pos="5103"/>
          <w:tab w:val="left" w:pos="6663"/>
        </w:tabs>
        <w:spacing w:after="0" w:line="240" w:lineRule="auto"/>
        <w:ind w:left="6663" w:right="-52" w:hanging="6663"/>
        <w:rPr>
          <w:b/>
          <w:sz w:val="24"/>
        </w:rPr>
      </w:pPr>
      <w:r>
        <w:rPr>
          <w:b/>
          <w:sz w:val="24"/>
        </w:rPr>
        <w:tab/>
      </w:r>
      <w:r w:rsidR="00AF630B">
        <w:rPr>
          <w:b/>
          <w:sz w:val="24"/>
        </w:rPr>
        <w:t>DECISION MAKING SERVICES</w:t>
      </w:r>
      <w:r w:rsidR="00AF630B">
        <w:rPr>
          <w:b/>
          <w:sz w:val="24"/>
        </w:rPr>
        <w:tab/>
        <w:t>Distributio</w:t>
      </w:r>
      <w:r w:rsidR="00E221A9">
        <w:rPr>
          <w:b/>
          <w:sz w:val="24"/>
        </w:rPr>
        <w:t>n:</w:t>
      </w:r>
      <w:r w:rsidR="00E221A9">
        <w:rPr>
          <w:b/>
          <w:sz w:val="24"/>
        </w:rPr>
        <w:tab/>
        <w:t xml:space="preserve">All holders of ADM </w:t>
      </w:r>
      <w:r w:rsidR="004C22B3">
        <w:rPr>
          <w:b/>
          <w:sz w:val="24"/>
        </w:rPr>
        <w:t>Chapter C2</w:t>
      </w:r>
    </w:p>
    <w:p w:rsidR="00AF630B" w:rsidRDefault="00AF630B" w:rsidP="00AF630B">
      <w:pPr>
        <w:tabs>
          <w:tab w:val="left" w:pos="567"/>
          <w:tab w:val="left" w:pos="5103"/>
          <w:tab w:val="left" w:pos="6804"/>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p>
    <w:p w:rsidR="00AF630B" w:rsidRDefault="000C3308" w:rsidP="00AF630B">
      <w:pPr>
        <w:tabs>
          <w:tab w:val="left" w:pos="567"/>
          <w:tab w:val="left" w:pos="1134"/>
          <w:tab w:val="left" w:pos="1701"/>
          <w:tab w:val="left" w:pos="6237"/>
        </w:tabs>
        <w:spacing w:after="0" w:line="240" w:lineRule="auto"/>
        <w:rPr>
          <w:rFonts w:cs="Arial"/>
          <w:sz w:val="24"/>
        </w:rPr>
      </w:pPr>
      <w:r>
        <w:rPr>
          <w:b/>
          <w:sz w:val="24"/>
        </w:rPr>
        <w:tab/>
        <w:t>July</w:t>
      </w:r>
      <w:bookmarkStart w:id="0" w:name="_GoBack"/>
      <w:bookmarkEnd w:id="0"/>
      <w:r w:rsidR="00AF630B">
        <w:rPr>
          <w:b/>
          <w:sz w:val="24"/>
        </w:rPr>
        <w:t xml:space="preserve"> 2019</w:t>
      </w:r>
    </w:p>
    <w:sectPr w:rsidR="00AF630B" w:rsidSect="004E46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07A2F"/>
    <w:multiLevelType w:val="hybridMultilevel"/>
    <w:tmpl w:val="08D072C4"/>
    <w:lvl w:ilvl="0" w:tplc="B42A3448">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 w15:restartNumberingAfterBreak="0">
    <w:nsid w:val="28EB7A47"/>
    <w:multiLevelType w:val="hybridMultilevel"/>
    <w:tmpl w:val="752C91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B0A5483"/>
    <w:multiLevelType w:val="hybridMultilevel"/>
    <w:tmpl w:val="3834A1FA"/>
    <w:lvl w:ilvl="0" w:tplc="BEDEEF4E">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326E62FB"/>
    <w:multiLevelType w:val="hybridMultilevel"/>
    <w:tmpl w:val="FB4C51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56055EF"/>
    <w:multiLevelType w:val="hybridMultilevel"/>
    <w:tmpl w:val="568A8648"/>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5" w15:restartNumberingAfterBreak="0">
    <w:nsid w:val="38A71F74"/>
    <w:multiLevelType w:val="hybridMultilevel"/>
    <w:tmpl w:val="36327B68"/>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6" w15:restartNumberingAfterBreak="0">
    <w:nsid w:val="489678AF"/>
    <w:multiLevelType w:val="hybridMultilevel"/>
    <w:tmpl w:val="071AB438"/>
    <w:lvl w:ilvl="0" w:tplc="BFF0F1E8">
      <w:start w:val="1"/>
      <w:numFmt w:val="decimal"/>
      <w:lvlText w:val="%1"/>
      <w:lvlJc w:val="left"/>
      <w:pPr>
        <w:ind w:left="1593"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7" w15:restartNumberingAfterBreak="0">
    <w:nsid w:val="54923E0C"/>
    <w:multiLevelType w:val="hybridMultilevel"/>
    <w:tmpl w:val="AF2A88C2"/>
    <w:lvl w:ilvl="0" w:tplc="999C8D0C">
      <w:start w:val="1"/>
      <w:numFmt w:val="decimal"/>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8" w15:restartNumberingAfterBreak="0">
    <w:nsid w:val="58172266"/>
    <w:multiLevelType w:val="multilevel"/>
    <w:tmpl w:val="714C1546"/>
    <w:lvl w:ilvl="0">
      <w:start w:val="2"/>
      <w:numFmt w:val="decimal"/>
      <w:lvlText w:val="%1."/>
      <w:lvlJc w:val="left"/>
      <w:pPr>
        <w:ind w:left="930" w:hanging="360"/>
      </w:pPr>
      <w:rPr>
        <w:rFonts w:hint="default"/>
        <w:b/>
      </w:rPr>
    </w:lvl>
    <w:lvl w:ilvl="1">
      <w:start w:val="1"/>
      <w:numFmt w:val="decimal"/>
      <w:isLgl/>
      <w:lvlText w:val="%1.%2"/>
      <w:lvlJc w:val="left"/>
      <w:pPr>
        <w:ind w:left="1335" w:hanging="405"/>
      </w:pPr>
      <w:rPr>
        <w:rFonts w:hint="default"/>
        <w:b/>
      </w:rPr>
    </w:lvl>
    <w:lvl w:ilvl="2">
      <w:start w:val="1"/>
      <w:numFmt w:val="decimal"/>
      <w:isLgl/>
      <w:lvlText w:val="%1.%2.%3"/>
      <w:lvlJc w:val="left"/>
      <w:pPr>
        <w:ind w:left="2010" w:hanging="720"/>
      </w:pPr>
      <w:rPr>
        <w:rFonts w:hint="default"/>
      </w:rPr>
    </w:lvl>
    <w:lvl w:ilvl="3">
      <w:start w:val="1"/>
      <w:numFmt w:val="decimal"/>
      <w:isLgl/>
      <w:lvlText w:val="%1.%2.%3.%4"/>
      <w:lvlJc w:val="left"/>
      <w:pPr>
        <w:ind w:left="273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810" w:hanging="144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50" w:hanging="1800"/>
      </w:pPr>
      <w:rPr>
        <w:rFonts w:hint="default"/>
      </w:rPr>
    </w:lvl>
  </w:abstractNum>
  <w:abstractNum w:abstractNumId="9" w15:restartNumberingAfterBreak="0">
    <w:nsid w:val="587D0081"/>
    <w:multiLevelType w:val="hybridMultilevel"/>
    <w:tmpl w:val="511E72D0"/>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0" w15:restartNumberingAfterBreak="0">
    <w:nsid w:val="6A5D367F"/>
    <w:multiLevelType w:val="hybridMultilevel"/>
    <w:tmpl w:val="C53E676E"/>
    <w:lvl w:ilvl="0" w:tplc="E8EA05E6">
      <w:start w:val="1"/>
      <w:numFmt w:val="decimal"/>
      <w:pStyle w:val="MainNums"/>
      <w:lvlText w:val="%1"/>
      <w:lvlJc w:val="left"/>
      <w:pPr>
        <w:tabs>
          <w:tab w:val="num" w:pos="0"/>
        </w:tabs>
        <w:ind w:left="0"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733C20"/>
    <w:multiLevelType w:val="hybridMultilevel"/>
    <w:tmpl w:val="2E90D6A6"/>
    <w:lvl w:ilvl="0" w:tplc="3D8C877C">
      <w:start w:val="3"/>
      <w:numFmt w:val="decimal"/>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6E9D5B53"/>
    <w:multiLevelType w:val="hybridMultilevel"/>
    <w:tmpl w:val="FF1EDFE2"/>
    <w:lvl w:ilvl="0" w:tplc="7890C70A">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8"/>
  </w:num>
  <w:num w:numId="5">
    <w:abstractNumId w:val="0"/>
  </w:num>
  <w:num w:numId="6">
    <w:abstractNumId w:val="2"/>
  </w:num>
  <w:num w:numId="7">
    <w:abstractNumId w:val="6"/>
  </w:num>
  <w:num w:numId="8">
    <w:abstractNumId w:val="1"/>
  </w:num>
  <w:num w:numId="9">
    <w:abstractNumId w:val="11"/>
  </w:num>
  <w:num w:numId="10">
    <w:abstractNumId w:val="3"/>
  </w:num>
  <w:num w:numId="11">
    <w:abstractNumId w:val="4"/>
  </w:num>
  <w:num w:numId="12">
    <w:abstractNumId w:val="5"/>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A9"/>
    <w:rsid w:val="00031921"/>
    <w:rsid w:val="000552CA"/>
    <w:rsid w:val="000724D4"/>
    <w:rsid w:val="000C27F5"/>
    <w:rsid w:val="000C3308"/>
    <w:rsid w:val="000D160D"/>
    <w:rsid w:val="00105028"/>
    <w:rsid w:val="001063AA"/>
    <w:rsid w:val="00132482"/>
    <w:rsid w:val="00134759"/>
    <w:rsid w:val="001A0174"/>
    <w:rsid w:val="001A3D29"/>
    <w:rsid w:val="00222049"/>
    <w:rsid w:val="002235AE"/>
    <w:rsid w:val="00242ECD"/>
    <w:rsid w:val="00261583"/>
    <w:rsid w:val="00297646"/>
    <w:rsid w:val="002D4C3D"/>
    <w:rsid w:val="002F00ED"/>
    <w:rsid w:val="002F5951"/>
    <w:rsid w:val="00312E92"/>
    <w:rsid w:val="00334C34"/>
    <w:rsid w:val="003B3720"/>
    <w:rsid w:val="003B3CFA"/>
    <w:rsid w:val="003D21AD"/>
    <w:rsid w:val="003E5A89"/>
    <w:rsid w:val="003F762F"/>
    <w:rsid w:val="00404AD9"/>
    <w:rsid w:val="00410AD5"/>
    <w:rsid w:val="0043659B"/>
    <w:rsid w:val="004647AF"/>
    <w:rsid w:val="00482BC9"/>
    <w:rsid w:val="00487C31"/>
    <w:rsid w:val="00493C6B"/>
    <w:rsid w:val="004A6EEA"/>
    <w:rsid w:val="004C22B3"/>
    <w:rsid w:val="004E237A"/>
    <w:rsid w:val="004F6AA7"/>
    <w:rsid w:val="00511986"/>
    <w:rsid w:val="00544A76"/>
    <w:rsid w:val="00545A33"/>
    <w:rsid w:val="00565EBF"/>
    <w:rsid w:val="005669A0"/>
    <w:rsid w:val="00582B0F"/>
    <w:rsid w:val="005841F5"/>
    <w:rsid w:val="005B549E"/>
    <w:rsid w:val="005D04EB"/>
    <w:rsid w:val="00612871"/>
    <w:rsid w:val="00612A2E"/>
    <w:rsid w:val="006247B7"/>
    <w:rsid w:val="0063789A"/>
    <w:rsid w:val="00647DCD"/>
    <w:rsid w:val="006B3ACC"/>
    <w:rsid w:val="006C0C10"/>
    <w:rsid w:val="006C5D9D"/>
    <w:rsid w:val="006F4CA4"/>
    <w:rsid w:val="00712702"/>
    <w:rsid w:val="0073236B"/>
    <w:rsid w:val="00753B43"/>
    <w:rsid w:val="007574DE"/>
    <w:rsid w:val="007924EC"/>
    <w:rsid w:val="00797DB0"/>
    <w:rsid w:val="007A0743"/>
    <w:rsid w:val="008025E2"/>
    <w:rsid w:val="00813124"/>
    <w:rsid w:val="00824842"/>
    <w:rsid w:val="00836480"/>
    <w:rsid w:val="008675E0"/>
    <w:rsid w:val="008751B5"/>
    <w:rsid w:val="008C3E22"/>
    <w:rsid w:val="008F4161"/>
    <w:rsid w:val="008F7508"/>
    <w:rsid w:val="009215ED"/>
    <w:rsid w:val="009345A2"/>
    <w:rsid w:val="00956DC3"/>
    <w:rsid w:val="00976C98"/>
    <w:rsid w:val="00995102"/>
    <w:rsid w:val="009B631F"/>
    <w:rsid w:val="009B7678"/>
    <w:rsid w:val="009D0B83"/>
    <w:rsid w:val="009D19A9"/>
    <w:rsid w:val="009E414A"/>
    <w:rsid w:val="009F0252"/>
    <w:rsid w:val="00A15798"/>
    <w:rsid w:val="00A15F68"/>
    <w:rsid w:val="00A25266"/>
    <w:rsid w:val="00A25E25"/>
    <w:rsid w:val="00AB693B"/>
    <w:rsid w:val="00AC4627"/>
    <w:rsid w:val="00AC7D83"/>
    <w:rsid w:val="00AD7317"/>
    <w:rsid w:val="00AE0DCA"/>
    <w:rsid w:val="00AE1A72"/>
    <w:rsid w:val="00AF1C01"/>
    <w:rsid w:val="00AF393F"/>
    <w:rsid w:val="00AF630B"/>
    <w:rsid w:val="00B054E4"/>
    <w:rsid w:val="00B40A05"/>
    <w:rsid w:val="00B463BC"/>
    <w:rsid w:val="00B67D33"/>
    <w:rsid w:val="00B704AB"/>
    <w:rsid w:val="00B91009"/>
    <w:rsid w:val="00BD0F44"/>
    <w:rsid w:val="00BD228C"/>
    <w:rsid w:val="00C00A0F"/>
    <w:rsid w:val="00C4548B"/>
    <w:rsid w:val="00C52EFD"/>
    <w:rsid w:val="00C668E7"/>
    <w:rsid w:val="00CE06DE"/>
    <w:rsid w:val="00CF75CC"/>
    <w:rsid w:val="00D12F16"/>
    <w:rsid w:val="00D41D5E"/>
    <w:rsid w:val="00D53DB5"/>
    <w:rsid w:val="00D617CD"/>
    <w:rsid w:val="00DA1E8E"/>
    <w:rsid w:val="00DC7ABE"/>
    <w:rsid w:val="00DE0C93"/>
    <w:rsid w:val="00E042DB"/>
    <w:rsid w:val="00E11F31"/>
    <w:rsid w:val="00E221A9"/>
    <w:rsid w:val="00E22D73"/>
    <w:rsid w:val="00E53A11"/>
    <w:rsid w:val="00E5573D"/>
    <w:rsid w:val="00E6473C"/>
    <w:rsid w:val="00EB459F"/>
    <w:rsid w:val="00EE497B"/>
    <w:rsid w:val="00EF6662"/>
    <w:rsid w:val="00F063E1"/>
    <w:rsid w:val="00F201AB"/>
    <w:rsid w:val="00F625FF"/>
    <w:rsid w:val="00F97401"/>
    <w:rsid w:val="00FA7248"/>
    <w:rsid w:val="00FC4DF4"/>
    <w:rsid w:val="00FD4978"/>
    <w:rsid w:val="00FE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7EBA-1612-4D3E-9210-7DE7C37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0B"/>
    <w:pPr>
      <w:spacing w:after="240" w:line="36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F6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qFormat/>
    <w:rsid w:val="00AF630B"/>
    <w:pPr>
      <w:tabs>
        <w:tab w:val="left" w:pos="6237"/>
      </w:tabs>
      <w:spacing w:after="120"/>
    </w:pPr>
    <w:rPr>
      <w:szCs w:val="20"/>
    </w:rPr>
  </w:style>
  <w:style w:type="paragraph" w:customStyle="1" w:styleId="MainNums">
    <w:name w:val="Main Nums"/>
    <w:basedOn w:val="Heading1"/>
    <w:qFormat/>
    <w:rsid w:val="00AF630B"/>
    <w:pPr>
      <w:keepNext w:val="0"/>
      <w:keepLines w:val="0"/>
      <w:numPr>
        <w:numId w:val="1"/>
      </w:numPr>
      <w:spacing w:after="240"/>
      <w:outlineLvl w:val="9"/>
    </w:pPr>
    <w:rPr>
      <w:rFonts w:ascii="Arial" w:eastAsia="Times New Roman" w:hAnsi="Arial" w:cs="Times New Roman"/>
      <w:color w:val="auto"/>
      <w:kern w:val="28"/>
      <w:sz w:val="20"/>
      <w:szCs w:val="20"/>
    </w:rPr>
  </w:style>
  <w:style w:type="paragraph" w:customStyle="1" w:styleId="Title1">
    <w:name w:val="Title1"/>
    <w:basedOn w:val="Normal"/>
    <w:next w:val="Normal"/>
    <w:qFormat/>
    <w:rsid w:val="00AF630B"/>
    <w:pPr>
      <w:spacing w:before="480" w:after="480"/>
    </w:pPr>
    <w:rPr>
      <w:b/>
      <w:caps/>
      <w:sz w:val="28"/>
      <w:szCs w:val="20"/>
    </w:rPr>
  </w:style>
  <w:style w:type="paragraph" w:customStyle="1" w:styleId="Topic">
    <w:name w:val="Topic"/>
    <w:basedOn w:val="Normal"/>
    <w:next w:val="MainNums"/>
    <w:qFormat/>
    <w:rsid w:val="00AF630B"/>
    <w:pPr>
      <w:spacing w:before="480"/>
    </w:pPr>
    <w:rPr>
      <w:b/>
      <w:caps/>
      <w:sz w:val="24"/>
      <w:szCs w:val="20"/>
    </w:rPr>
  </w:style>
  <w:style w:type="paragraph" w:customStyle="1" w:styleId="Head">
    <w:name w:val="Head"/>
    <w:basedOn w:val="Normal"/>
    <w:next w:val="Normal"/>
    <w:rsid w:val="00AF630B"/>
    <w:pPr>
      <w:tabs>
        <w:tab w:val="right" w:pos="7655"/>
      </w:tabs>
      <w:jc w:val="right"/>
    </w:pPr>
    <w:rPr>
      <w:b/>
      <w:sz w:val="28"/>
      <w:szCs w:val="20"/>
    </w:rPr>
  </w:style>
  <w:style w:type="character" w:customStyle="1" w:styleId="Heading1Char">
    <w:name w:val="Heading 1 Char"/>
    <w:basedOn w:val="DefaultParagraphFont"/>
    <w:link w:val="Heading1"/>
    <w:uiPriority w:val="9"/>
    <w:rsid w:val="00AF63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1009"/>
    <w:pPr>
      <w:ind w:left="720"/>
      <w:contextualSpacing/>
    </w:pPr>
  </w:style>
  <w:style w:type="paragraph" w:customStyle="1" w:styleId="Legal">
    <w:name w:val="Legal"/>
    <w:basedOn w:val="Normal"/>
    <w:next w:val="Normal"/>
    <w:qFormat/>
    <w:rsid w:val="00334C34"/>
    <w:pPr>
      <w:jc w:val="right"/>
    </w:pPr>
    <w:rPr>
      <w:rFonts w:ascii="Times New Roman" w:hAnsi="Times New Roman"/>
      <w:i/>
      <w:sz w:val="16"/>
      <w:szCs w:val="20"/>
    </w:rPr>
  </w:style>
  <w:style w:type="paragraph" w:customStyle="1" w:styleId="toc">
    <w:name w:val="toc"/>
    <w:basedOn w:val="TOC1"/>
    <w:qFormat/>
    <w:rsid w:val="00334C34"/>
    <w:pPr>
      <w:tabs>
        <w:tab w:val="left" w:pos="6237"/>
      </w:tabs>
      <w:spacing w:after="120"/>
    </w:pPr>
    <w:rPr>
      <w:b/>
      <w:sz w:val="24"/>
    </w:rPr>
  </w:style>
  <w:style w:type="paragraph" w:styleId="TOC1">
    <w:name w:val="toc 1"/>
    <w:basedOn w:val="Normal"/>
    <w:next w:val="Normal"/>
    <w:autoRedefine/>
    <w:uiPriority w:val="39"/>
    <w:semiHidden/>
    <w:unhideWhenUsed/>
    <w:rsid w:val="00334C34"/>
    <w:pPr>
      <w:spacing w:after="100"/>
    </w:pPr>
  </w:style>
  <w:style w:type="paragraph" w:styleId="BalloonText">
    <w:name w:val="Balloon Text"/>
    <w:basedOn w:val="Normal"/>
    <w:link w:val="BalloonTextChar"/>
    <w:uiPriority w:val="99"/>
    <w:semiHidden/>
    <w:unhideWhenUsed/>
    <w:rsid w:val="005B5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Barker</dc:creator>
  <cp:keywords/>
  <dc:description/>
  <cp:lastModifiedBy>Peter McMullin</cp:lastModifiedBy>
  <cp:revision>9</cp:revision>
  <cp:lastPrinted>2019-06-28T11:10:00Z</cp:lastPrinted>
  <dcterms:created xsi:type="dcterms:W3CDTF">2019-06-28T09:28:00Z</dcterms:created>
  <dcterms:modified xsi:type="dcterms:W3CDTF">2019-07-01T07:42:00Z</dcterms:modified>
</cp:coreProperties>
</file>