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5"/>
        <w:gridCol w:w="4317"/>
      </w:tblGrid>
      <w:tr w:rsidR="003A14A9" w:rsidTr="003A14A9">
        <w:tc>
          <w:tcPr>
            <w:tcW w:w="4925" w:type="dxa"/>
          </w:tcPr>
          <w:p w:rsidR="00F159C9" w:rsidRPr="003C46A0" w:rsidRDefault="00F159C9" w:rsidP="003A14A9">
            <w:pPr>
              <w:pStyle w:val="Header"/>
              <w:tabs>
                <w:tab w:val="clear" w:pos="4153"/>
                <w:tab w:val="clear" w:pos="8306"/>
              </w:tabs>
              <w:rPr>
                <w:rFonts w:ascii="Times New Roman" w:hAnsi="Times New Roman"/>
                <w:sz w:val="34"/>
                <w:szCs w:val="34"/>
              </w:rPr>
            </w:pPr>
          </w:p>
          <w:p w:rsidR="003A14A9" w:rsidRPr="003C46A0" w:rsidRDefault="003A14A9" w:rsidP="003A14A9">
            <w:pPr>
              <w:pStyle w:val="Header"/>
              <w:tabs>
                <w:tab w:val="clear" w:pos="4153"/>
                <w:tab w:val="clear" w:pos="8306"/>
              </w:tabs>
              <w:rPr>
                <w:rFonts w:ascii="Times New Roman" w:hAnsi="Times New Roman"/>
                <w:sz w:val="34"/>
                <w:szCs w:val="34"/>
              </w:rPr>
            </w:pPr>
            <w:r w:rsidRPr="003C46A0">
              <w:rPr>
                <w:rFonts w:ascii="Times New Roman" w:hAnsi="Times New Roman"/>
                <w:sz w:val="34"/>
                <w:szCs w:val="34"/>
              </w:rPr>
              <w:t>Social Security Policy and</w:t>
            </w:r>
          </w:p>
          <w:p w:rsidR="003A14A9" w:rsidRDefault="003A14A9" w:rsidP="0051743C">
            <w:r w:rsidRPr="003C46A0">
              <w:rPr>
                <w:rFonts w:ascii="Times New Roman" w:hAnsi="Times New Roman"/>
                <w:sz w:val="34"/>
                <w:szCs w:val="34"/>
              </w:rPr>
              <w:t xml:space="preserve">Legislation </w:t>
            </w:r>
            <w:r w:rsidR="004737B2" w:rsidRPr="003C46A0">
              <w:rPr>
                <w:rFonts w:ascii="Times New Roman" w:hAnsi="Times New Roman"/>
                <w:sz w:val="34"/>
                <w:szCs w:val="34"/>
              </w:rPr>
              <w:t>Division</w:t>
            </w:r>
          </w:p>
        </w:tc>
        <w:tc>
          <w:tcPr>
            <w:tcW w:w="4317" w:type="dxa"/>
          </w:tcPr>
          <w:p w:rsidR="003A14A9" w:rsidRDefault="003A14A9" w:rsidP="003A14A9">
            <w:pPr>
              <w:spacing w:line="253" w:lineRule="auto"/>
              <w:ind w:right="21" w:firstLine="22"/>
              <w:jc w:val="right"/>
            </w:pPr>
            <w:r w:rsidRPr="003A14A9">
              <w:rPr>
                <w:rFonts w:ascii="Arial" w:eastAsia="Arial" w:hAnsi="Arial" w:cs="Arial"/>
                <w:noProof/>
                <w:sz w:val="13"/>
                <w:szCs w:val="13"/>
                <w:lang w:val="en-GB" w:eastAsia="en-GB"/>
              </w:rPr>
              <w:drawing>
                <wp:inline distT="0" distB="0" distL="0" distR="0">
                  <wp:extent cx="2568859" cy="1019175"/>
                  <wp:effectExtent l="19050" t="0" r="2891" b="0"/>
                  <wp:docPr id="4" name="Picture 0" descr="communitie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ies-cmyk.jpg"/>
                          <pic:cNvPicPr/>
                        </pic:nvPicPr>
                        <pic:blipFill>
                          <a:blip r:embed="rId6" cstate="print"/>
                          <a:stretch>
                            <a:fillRect/>
                          </a:stretch>
                        </pic:blipFill>
                        <pic:spPr>
                          <a:xfrm>
                            <a:off x="0" y="0"/>
                            <a:ext cx="2566732" cy="1018331"/>
                          </a:xfrm>
                          <a:prstGeom prst="rect">
                            <a:avLst/>
                          </a:prstGeom>
                        </pic:spPr>
                      </pic:pic>
                    </a:graphicData>
                  </a:graphic>
                </wp:inline>
              </w:drawing>
            </w:r>
          </w:p>
        </w:tc>
      </w:tr>
      <w:tr w:rsidR="003A14A9" w:rsidTr="00081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4"/>
        </w:trPr>
        <w:tc>
          <w:tcPr>
            <w:tcW w:w="4925" w:type="dxa"/>
            <w:tcBorders>
              <w:top w:val="nil"/>
              <w:left w:val="nil"/>
              <w:bottom w:val="nil"/>
              <w:right w:val="nil"/>
            </w:tcBorders>
          </w:tcPr>
          <w:p w:rsidR="008A07D6" w:rsidRPr="0051743C" w:rsidRDefault="008A07D6" w:rsidP="003A14A9">
            <w:pPr>
              <w:rPr>
                <w:rFonts w:ascii="Arial" w:hAnsi="Arial" w:cs="Arial"/>
                <w:sz w:val="24"/>
                <w:szCs w:val="24"/>
              </w:rPr>
            </w:pPr>
          </w:p>
          <w:p w:rsidR="008A07D6" w:rsidRPr="0051743C" w:rsidRDefault="008A07D6" w:rsidP="003A14A9">
            <w:pPr>
              <w:rPr>
                <w:rFonts w:ascii="Arial" w:hAnsi="Arial" w:cs="Arial"/>
                <w:sz w:val="24"/>
                <w:szCs w:val="24"/>
              </w:rPr>
            </w:pPr>
          </w:p>
          <w:p w:rsidR="003A14A9" w:rsidRDefault="008A07D6" w:rsidP="003A14A9">
            <w:proofErr w:type="spellStart"/>
            <w:r w:rsidRPr="0051743C">
              <w:rPr>
                <w:rFonts w:ascii="Arial" w:hAnsi="Arial" w:cs="Arial"/>
                <w:sz w:val="24"/>
                <w:szCs w:val="24"/>
              </w:rPr>
              <w:t>Consultee</w:t>
            </w:r>
            <w:proofErr w:type="spellEnd"/>
          </w:p>
        </w:tc>
        <w:tc>
          <w:tcPr>
            <w:tcW w:w="4317" w:type="dxa"/>
            <w:tcBorders>
              <w:top w:val="nil"/>
              <w:left w:val="nil"/>
              <w:bottom w:val="nil"/>
              <w:right w:val="nil"/>
            </w:tcBorders>
          </w:tcPr>
          <w:p w:rsidR="004737B2" w:rsidRPr="0051743C" w:rsidRDefault="004737B2" w:rsidP="003A14A9">
            <w:pPr>
              <w:ind w:left="1171"/>
              <w:rPr>
                <w:rFonts w:ascii="Arial" w:hAnsi="Arial" w:cs="Arial"/>
                <w:sz w:val="20"/>
                <w:szCs w:val="20"/>
              </w:rPr>
            </w:pPr>
            <w:r w:rsidRPr="0051743C">
              <w:rPr>
                <w:rFonts w:ascii="Arial" w:hAnsi="Arial" w:cs="Arial"/>
                <w:sz w:val="20"/>
                <w:szCs w:val="20"/>
              </w:rPr>
              <w:t>Level 1</w:t>
            </w:r>
          </w:p>
          <w:p w:rsidR="003A14A9" w:rsidRPr="0051743C" w:rsidRDefault="003A14A9" w:rsidP="003A14A9">
            <w:pPr>
              <w:ind w:left="1171"/>
              <w:rPr>
                <w:rFonts w:ascii="Arial" w:hAnsi="Arial" w:cs="Arial"/>
                <w:sz w:val="20"/>
                <w:szCs w:val="20"/>
              </w:rPr>
            </w:pPr>
            <w:r w:rsidRPr="0051743C">
              <w:rPr>
                <w:rFonts w:ascii="Arial" w:hAnsi="Arial" w:cs="Arial"/>
                <w:sz w:val="20"/>
                <w:szCs w:val="20"/>
              </w:rPr>
              <w:t>James House</w:t>
            </w:r>
          </w:p>
          <w:p w:rsidR="003A14A9" w:rsidRPr="0051743C" w:rsidRDefault="003A14A9" w:rsidP="003A14A9">
            <w:pPr>
              <w:ind w:left="1171"/>
              <w:rPr>
                <w:rFonts w:ascii="Arial" w:hAnsi="Arial" w:cs="Arial"/>
                <w:sz w:val="20"/>
                <w:szCs w:val="20"/>
              </w:rPr>
            </w:pPr>
            <w:r w:rsidRPr="0051743C">
              <w:rPr>
                <w:rFonts w:ascii="Arial" w:hAnsi="Arial" w:cs="Arial"/>
                <w:sz w:val="20"/>
                <w:szCs w:val="20"/>
              </w:rPr>
              <w:t>2</w:t>
            </w:r>
            <w:r w:rsidR="004737B2" w:rsidRPr="0051743C">
              <w:rPr>
                <w:rFonts w:ascii="Arial" w:hAnsi="Arial" w:cs="Arial"/>
                <w:sz w:val="20"/>
                <w:szCs w:val="20"/>
              </w:rPr>
              <w:t>-4</w:t>
            </w:r>
            <w:r w:rsidRPr="0051743C">
              <w:rPr>
                <w:rFonts w:ascii="Arial" w:hAnsi="Arial" w:cs="Arial"/>
                <w:sz w:val="20"/>
                <w:szCs w:val="20"/>
              </w:rPr>
              <w:t xml:space="preserve"> </w:t>
            </w:r>
            <w:proofErr w:type="spellStart"/>
            <w:r w:rsidRPr="0051743C">
              <w:rPr>
                <w:rFonts w:ascii="Arial" w:hAnsi="Arial" w:cs="Arial"/>
                <w:sz w:val="20"/>
                <w:szCs w:val="20"/>
              </w:rPr>
              <w:t>Cromac</w:t>
            </w:r>
            <w:proofErr w:type="spellEnd"/>
            <w:r w:rsidRPr="0051743C">
              <w:rPr>
                <w:rFonts w:ascii="Arial" w:hAnsi="Arial" w:cs="Arial"/>
                <w:sz w:val="20"/>
                <w:szCs w:val="20"/>
              </w:rPr>
              <w:t xml:space="preserve"> </w:t>
            </w:r>
            <w:r w:rsidR="004737B2" w:rsidRPr="0051743C">
              <w:rPr>
                <w:rFonts w:ascii="Arial" w:hAnsi="Arial" w:cs="Arial"/>
                <w:sz w:val="20"/>
                <w:szCs w:val="20"/>
              </w:rPr>
              <w:t>Avenue</w:t>
            </w:r>
          </w:p>
          <w:p w:rsidR="003A14A9" w:rsidRPr="0051743C" w:rsidRDefault="003A14A9" w:rsidP="003A14A9">
            <w:pPr>
              <w:ind w:left="1171"/>
              <w:rPr>
                <w:rFonts w:ascii="Arial" w:hAnsi="Arial" w:cs="Arial"/>
                <w:sz w:val="20"/>
                <w:szCs w:val="20"/>
              </w:rPr>
            </w:pPr>
            <w:r w:rsidRPr="0051743C">
              <w:rPr>
                <w:rFonts w:ascii="Arial" w:hAnsi="Arial" w:cs="Arial"/>
                <w:sz w:val="20"/>
                <w:szCs w:val="20"/>
              </w:rPr>
              <w:t>Gasworks Business Park</w:t>
            </w:r>
          </w:p>
          <w:p w:rsidR="003A14A9" w:rsidRPr="0051743C" w:rsidRDefault="003A14A9" w:rsidP="003A14A9">
            <w:pPr>
              <w:ind w:left="1171"/>
              <w:rPr>
                <w:rFonts w:ascii="Arial" w:hAnsi="Arial" w:cs="Arial"/>
                <w:sz w:val="20"/>
                <w:szCs w:val="20"/>
              </w:rPr>
            </w:pPr>
            <w:proofErr w:type="spellStart"/>
            <w:r w:rsidRPr="0051743C">
              <w:rPr>
                <w:rFonts w:ascii="Arial" w:hAnsi="Arial" w:cs="Arial"/>
                <w:sz w:val="20"/>
                <w:szCs w:val="20"/>
              </w:rPr>
              <w:t>Ormeau</w:t>
            </w:r>
            <w:proofErr w:type="spellEnd"/>
            <w:r w:rsidRPr="0051743C">
              <w:rPr>
                <w:rFonts w:ascii="Arial" w:hAnsi="Arial" w:cs="Arial"/>
                <w:sz w:val="20"/>
                <w:szCs w:val="20"/>
              </w:rPr>
              <w:t xml:space="preserve"> Road</w:t>
            </w:r>
          </w:p>
          <w:p w:rsidR="003A14A9" w:rsidRPr="0051743C" w:rsidRDefault="003A14A9" w:rsidP="003A14A9">
            <w:pPr>
              <w:ind w:left="1171"/>
              <w:rPr>
                <w:rFonts w:ascii="Arial" w:hAnsi="Arial" w:cs="Arial"/>
                <w:sz w:val="20"/>
                <w:szCs w:val="20"/>
              </w:rPr>
            </w:pPr>
            <w:r w:rsidRPr="0051743C">
              <w:rPr>
                <w:rFonts w:ascii="Arial" w:hAnsi="Arial" w:cs="Arial"/>
                <w:sz w:val="20"/>
                <w:szCs w:val="20"/>
              </w:rPr>
              <w:t>BELFAST</w:t>
            </w:r>
          </w:p>
          <w:p w:rsidR="003A14A9" w:rsidRPr="0051743C" w:rsidRDefault="003A14A9" w:rsidP="003A14A9">
            <w:pPr>
              <w:ind w:left="1171"/>
              <w:rPr>
                <w:rFonts w:ascii="Arial" w:hAnsi="Arial" w:cs="Arial"/>
                <w:sz w:val="20"/>
                <w:szCs w:val="20"/>
              </w:rPr>
            </w:pPr>
            <w:r w:rsidRPr="0051743C">
              <w:rPr>
                <w:rFonts w:ascii="Arial" w:hAnsi="Arial" w:cs="Arial"/>
                <w:sz w:val="20"/>
                <w:szCs w:val="20"/>
              </w:rPr>
              <w:t>BT7 2JA</w:t>
            </w:r>
          </w:p>
          <w:p w:rsidR="003A14A9" w:rsidRDefault="003A14A9" w:rsidP="003A14A9">
            <w:pPr>
              <w:ind w:left="1171"/>
              <w:rPr>
                <w:rFonts w:ascii="Arial" w:hAnsi="Arial" w:cs="Arial"/>
                <w:sz w:val="20"/>
                <w:szCs w:val="20"/>
              </w:rPr>
            </w:pPr>
          </w:p>
          <w:p w:rsidR="000816EE" w:rsidRPr="0051743C" w:rsidRDefault="000816EE" w:rsidP="000816EE">
            <w:pPr>
              <w:ind w:left="1171"/>
              <w:rPr>
                <w:rFonts w:ascii="Arial" w:hAnsi="Arial" w:cs="Arial"/>
                <w:sz w:val="20"/>
                <w:szCs w:val="20"/>
              </w:rPr>
            </w:pPr>
            <w:r w:rsidRPr="0051743C">
              <w:rPr>
                <w:rFonts w:ascii="Arial" w:hAnsi="Arial" w:cs="Arial"/>
                <w:sz w:val="20"/>
                <w:szCs w:val="20"/>
              </w:rPr>
              <w:t>Tel:</w:t>
            </w:r>
            <w:r>
              <w:rPr>
                <w:rFonts w:ascii="Arial" w:hAnsi="Arial" w:cs="Arial"/>
                <w:sz w:val="20"/>
                <w:szCs w:val="20"/>
              </w:rPr>
              <w:t xml:space="preserve">  </w:t>
            </w:r>
            <w:r w:rsidRPr="0051743C">
              <w:rPr>
                <w:rFonts w:ascii="Arial" w:hAnsi="Arial" w:cs="Arial"/>
                <w:sz w:val="20"/>
                <w:szCs w:val="20"/>
              </w:rPr>
              <w:t>028 9081 9984</w:t>
            </w:r>
          </w:p>
          <w:p w:rsidR="000816EE" w:rsidRPr="0051743C" w:rsidRDefault="00DD2A85" w:rsidP="000816EE">
            <w:pPr>
              <w:ind w:left="1171"/>
              <w:rPr>
                <w:rFonts w:ascii="Arial" w:hAnsi="Arial" w:cs="Arial"/>
                <w:sz w:val="20"/>
                <w:szCs w:val="20"/>
              </w:rPr>
            </w:pPr>
            <w:r>
              <w:rPr>
                <w:rFonts w:ascii="Arial" w:hAnsi="Arial" w:cs="Arial"/>
                <w:sz w:val="20"/>
                <w:szCs w:val="20"/>
              </w:rPr>
              <w:t xml:space="preserve">Text Phone:  </w:t>
            </w:r>
            <w:r w:rsidR="000816EE" w:rsidRPr="0051743C">
              <w:rPr>
                <w:rFonts w:ascii="Arial" w:hAnsi="Arial" w:cs="Arial"/>
                <w:sz w:val="20"/>
                <w:szCs w:val="20"/>
              </w:rPr>
              <w:t>028 9081 9140</w:t>
            </w:r>
          </w:p>
          <w:p w:rsidR="000816EE" w:rsidRPr="0051743C" w:rsidRDefault="000816EE" w:rsidP="003A14A9">
            <w:pPr>
              <w:ind w:left="1171"/>
              <w:rPr>
                <w:rFonts w:ascii="Arial" w:hAnsi="Arial" w:cs="Arial"/>
                <w:sz w:val="20"/>
                <w:szCs w:val="20"/>
              </w:rPr>
            </w:pPr>
          </w:p>
          <w:p w:rsidR="003A14A9" w:rsidRPr="0051743C" w:rsidRDefault="003A14A9" w:rsidP="003A14A9">
            <w:pPr>
              <w:ind w:left="1171"/>
              <w:rPr>
                <w:rFonts w:ascii="Arial" w:hAnsi="Arial" w:cs="Arial"/>
                <w:sz w:val="20"/>
                <w:szCs w:val="20"/>
              </w:rPr>
            </w:pPr>
            <w:r w:rsidRPr="0051743C">
              <w:rPr>
                <w:rFonts w:ascii="Arial" w:hAnsi="Arial" w:cs="Arial"/>
                <w:sz w:val="20"/>
                <w:szCs w:val="20"/>
              </w:rPr>
              <w:t>Email:</w:t>
            </w:r>
            <w:r w:rsidR="008A07D6" w:rsidRPr="0051743C">
              <w:rPr>
                <w:rFonts w:ascii="Arial" w:hAnsi="Arial" w:cs="Arial"/>
                <w:sz w:val="20"/>
                <w:szCs w:val="20"/>
              </w:rPr>
              <w:t xml:space="preserve"> </w:t>
            </w:r>
            <w:r w:rsidR="00DD2A85">
              <w:rPr>
                <w:rFonts w:ascii="Arial" w:hAnsi="Arial" w:cs="Arial"/>
                <w:sz w:val="20"/>
                <w:szCs w:val="20"/>
              </w:rPr>
              <w:t xml:space="preserve"> </w:t>
            </w:r>
            <w:hyperlink r:id="rId7" w:history="1">
              <w:r w:rsidR="0051743C" w:rsidRPr="0069009E">
                <w:rPr>
                  <w:rStyle w:val="Hyperlink"/>
                  <w:rFonts w:ascii="Arial" w:hAnsi="Arial" w:cs="Arial"/>
                  <w:sz w:val="20"/>
                  <w:szCs w:val="20"/>
                </w:rPr>
                <w:t>anne.mccleary@communities-ni.gsi.gov.uk</w:t>
              </w:r>
            </w:hyperlink>
            <w:r w:rsidR="008A07D6" w:rsidRPr="0051743C">
              <w:rPr>
                <w:rFonts w:ascii="Arial" w:hAnsi="Arial" w:cs="Arial"/>
                <w:sz w:val="20"/>
                <w:szCs w:val="20"/>
              </w:rPr>
              <w:t xml:space="preserve"> </w:t>
            </w:r>
          </w:p>
          <w:p w:rsidR="003A14A9" w:rsidRPr="0051743C" w:rsidRDefault="003A14A9" w:rsidP="003A14A9">
            <w:pPr>
              <w:ind w:left="1171"/>
              <w:rPr>
                <w:rFonts w:ascii="Arial" w:hAnsi="Arial" w:cs="Arial"/>
                <w:sz w:val="20"/>
                <w:szCs w:val="20"/>
              </w:rPr>
            </w:pPr>
          </w:p>
          <w:p w:rsidR="0051743C" w:rsidRDefault="0051743C" w:rsidP="003A14A9">
            <w:pPr>
              <w:ind w:left="1171"/>
              <w:rPr>
                <w:rFonts w:ascii="Arial" w:hAnsi="Arial" w:cs="Arial"/>
                <w:sz w:val="20"/>
                <w:szCs w:val="20"/>
              </w:rPr>
            </w:pPr>
            <w:r>
              <w:rPr>
                <w:rFonts w:ascii="Arial" w:hAnsi="Arial" w:cs="Arial"/>
                <w:sz w:val="20"/>
                <w:szCs w:val="20"/>
              </w:rPr>
              <w:t>You</w:t>
            </w:r>
            <w:r w:rsidR="000816EE">
              <w:rPr>
                <w:rFonts w:ascii="Arial" w:hAnsi="Arial" w:cs="Arial"/>
                <w:sz w:val="20"/>
                <w:szCs w:val="20"/>
              </w:rPr>
              <w:t>r</w:t>
            </w:r>
            <w:r>
              <w:rPr>
                <w:rFonts w:ascii="Arial" w:hAnsi="Arial" w:cs="Arial"/>
                <w:sz w:val="20"/>
                <w:szCs w:val="20"/>
              </w:rPr>
              <w:t xml:space="preserve"> reference:  </w:t>
            </w:r>
          </w:p>
          <w:p w:rsidR="0051743C" w:rsidRDefault="0051743C" w:rsidP="003A14A9">
            <w:pPr>
              <w:ind w:left="1171"/>
              <w:rPr>
                <w:rFonts w:ascii="Arial" w:hAnsi="Arial" w:cs="Arial"/>
                <w:sz w:val="20"/>
                <w:szCs w:val="20"/>
              </w:rPr>
            </w:pPr>
            <w:r>
              <w:rPr>
                <w:rFonts w:ascii="Arial" w:hAnsi="Arial" w:cs="Arial"/>
                <w:sz w:val="20"/>
                <w:szCs w:val="20"/>
              </w:rPr>
              <w:t xml:space="preserve">Our reference:  </w:t>
            </w:r>
            <w:r w:rsidR="00F65266">
              <w:rPr>
                <w:rFonts w:ascii="Arial" w:hAnsi="Arial" w:cs="Arial"/>
                <w:sz w:val="20"/>
                <w:szCs w:val="20"/>
              </w:rPr>
              <w:t>CO1-16-4377</w:t>
            </w:r>
          </w:p>
          <w:p w:rsidR="0051743C" w:rsidRPr="0051743C" w:rsidRDefault="0051743C" w:rsidP="003A14A9">
            <w:pPr>
              <w:ind w:left="1171"/>
              <w:rPr>
                <w:rFonts w:ascii="Arial" w:hAnsi="Arial" w:cs="Arial"/>
                <w:sz w:val="20"/>
                <w:szCs w:val="20"/>
              </w:rPr>
            </w:pPr>
          </w:p>
          <w:p w:rsidR="003A14A9" w:rsidRDefault="0051743C" w:rsidP="00F65266">
            <w:pPr>
              <w:ind w:left="1171"/>
            </w:pPr>
            <w:r>
              <w:rPr>
                <w:rFonts w:ascii="Arial" w:hAnsi="Arial" w:cs="Arial"/>
                <w:sz w:val="20"/>
                <w:szCs w:val="20"/>
              </w:rPr>
              <w:t xml:space="preserve">Date:  </w:t>
            </w:r>
            <w:r w:rsidR="00F65266">
              <w:rPr>
                <w:rFonts w:ascii="Arial" w:hAnsi="Arial" w:cs="Arial"/>
                <w:sz w:val="20"/>
                <w:szCs w:val="20"/>
              </w:rPr>
              <w:t>3</w:t>
            </w:r>
            <w:r w:rsidR="008A07D6" w:rsidRPr="0051743C">
              <w:rPr>
                <w:rFonts w:ascii="Arial" w:hAnsi="Arial" w:cs="Arial"/>
                <w:sz w:val="20"/>
                <w:szCs w:val="20"/>
              </w:rPr>
              <w:t xml:space="preserve"> June 2016</w:t>
            </w:r>
          </w:p>
        </w:tc>
      </w:tr>
    </w:tbl>
    <w:p w:rsidR="00F65266" w:rsidRDefault="00F65266" w:rsidP="0051743C">
      <w:pPr>
        <w:spacing w:after="0" w:line="240" w:lineRule="auto"/>
        <w:jc w:val="both"/>
        <w:rPr>
          <w:rFonts w:ascii="Arial" w:hAnsi="Arial" w:cs="Arial"/>
          <w:sz w:val="24"/>
          <w:szCs w:val="24"/>
        </w:rPr>
      </w:pPr>
    </w:p>
    <w:p w:rsidR="003A14A9" w:rsidRPr="0051743C" w:rsidRDefault="003A14A9" w:rsidP="0051743C">
      <w:pPr>
        <w:spacing w:after="0" w:line="240" w:lineRule="auto"/>
        <w:jc w:val="both"/>
        <w:rPr>
          <w:rFonts w:ascii="Arial" w:hAnsi="Arial" w:cs="Arial"/>
          <w:sz w:val="24"/>
          <w:szCs w:val="24"/>
        </w:rPr>
      </w:pPr>
      <w:r w:rsidRPr="0051743C">
        <w:rPr>
          <w:rFonts w:ascii="Arial" w:hAnsi="Arial" w:cs="Arial"/>
          <w:sz w:val="24"/>
          <w:szCs w:val="24"/>
        </w:rPr>
        <w:t xml:space="preserve">Dear </w:t>
      </w:r>
      <w:r w:rsidR="008A07D6" w:rsidRPr="0051743C">
        <w:rPr>
          <w:rFonts w:ascii="Arial" w:hAnsi="Arial" w:cs="Arial"/>
          <w:sz w:val="24"/>
          <w:szCs w:val="24"/>
        </w:rPr>
        <w:t>Sir or Madam</w:t>
      </w:r>
    </w:p>
    <w:p w:rsidR="008A07D6" w:rsidRPr="0051743C" w:rsidRDefault="008A07D6" w:rsidP="0051743C">
      <w:pPr>
        <w:spacing w:after="0" w:line="240" w:lineRule="auto"/>
        <w:jc w:val="both"/>
        <w:rPr>
          <w:rFonts w:ascii="Arial" w:hAnsi="Arial" w:cs="Arial"/>
          <w:sz w:val="24"/>
          <w:szCs w:val="24"/>
        </w:rPr>
      </w:pPr>
    </w:p>
    <w:p w:rsidR="008A07D6" w:rsidRPr="0051743C" w:rsidRDefault="008A07D6" w:rsidP="0051743C">
      <w:pPr>
        <w:spacing w:after="0" w:line="240" w:lineRule="auto"/>
        <w:ind w:right="21"/>
        <w:jc w:val="both"/>
        <w:rPr>
          <w:rFonts w:ascii="Arial" w:eastAsia="Arial" w:hAnsi="Arial" w:cs="Arial"/>
          <w:b/>
          <w:sz w:val="24"/>
          <w:szCs w:val="24"/>
        </w:rPr>
      </w:pPr>
      <w:r w:rsidRPr="0051743C">
        <w:rPr>
          <w:rFonts w:ascii="Arial" w:eastAsia="Arial" w:hAnsi="Arial" w:cs="Arial"/>
          <w:b/>
          <w:sz w:val="24"/>
          <w:szCs w:val="24"/>
        </w:rPr>
        <w:t>Capping early exit charges for members of occupational pension schemes</w:t>
      </w:r>
    </w:p>
    <w:p w:rsidR="008A07D6" w:rsidRPr="0051743C" w:rsidRDefault="008A07D6" w:rsidP="0051743C">
      <w:pPr>
        <w:spacing w:after="0" w:line="240" w:lineRule="auto"/>
        <w:ind w:right="21"/>
        <w:jc w:val="both"/>
        <w:rPr>
          <w:rFonts w:ascii="Arial" w:eastAsia="Arial" w:hAnsi="Arial" w:cs="Arial"/>
          <w:b/>
          <w:sz w:val="24"/>
          <w:szCs w:val="24"/>
        </w:rPr>
      </w:pPr>
    </w:p>
    <w:p w:rsidR="008A07D6" w:rsidRPr="0051743C" w:rsidRDefault="008A07D6" w:rsidP="0051743C">
      <w:pPr>
        <w:spacing w:after="0" w:line="240" w:lineRule="auto"/>
        <w:jc w:val="both"/>
        <w:rPr>
          <w:rFonts w:ascii="Arial" w:hAnsi="Arial" w:cs="Arial"/>
          <w:sz w:val="24"/>
          <w:szCs w:val="24"/>
        </w:rPr>
      </w:pPr>
      <w:r w:rsidRPr="0051743C">
        <w:rPr>
          <w:rFonts w:ascii="Arial" w:eastAsia="Calibri" w:hAnsi="Arial" w:cs="Arial"/>
          <w:sz w:val="24"/>
          <w:szCs w:val="24"/>
        </w:rPr>
        <w:t xml:space="preserve">The consultation paper </w:t>
      </w:r>
      <w:r w:rsidRPr="0051743C">
        <w:rPr>
          <w:rFonts w:ascii="Arial" w:eastAsia="Calibri" w:hAnsi="Arial" w:cs="Arial"/>
          <w:i/>
          <w:sz w:val="24"/>
          <w:szCs w:val="24"/>
        </w:rPr>
        <w:t>“</w:t>
      </w:r>
      <w:r w:rsidRPr="0051743C">
        <w:rPr>
          <w:rFonts w:ascii="Arial" w:hAnsi="Arial" w:cs="Arial"/>
          <w:i/>
          <w:sz w:val="24"/>
          <w:szCs w:val="24"/>
        </w:rPr>
        <w:t>Capping early exit charges for members of occupational pension schemes</w:t>
      </w:r>
      <w:r w:rsidR="00F65266">
        <w:rPr>
          <w:rFonts w:ascii="Arial" w:hAnsi="Arial" w:cs="Arial"/>
          <w:i/>
          <w:sz w:val="24"/>
          <w:szCs w:val="24"/>
        </w:rPr>
        <w:t xml:space="preserve"> – Ensuring a fair and consistent approach across all defined contribution pensions</w:t>
      </w:r>
      <w:r w:rsidRPr="0051743C">
        <w:rPr>
          <w:rFonts w:ascii="Arial" w:eastAsia="Calibri" w:hAnsi="Arial" w:cs="Arial"/>
          <w:sz w:val="24"/>
          <w:szCs w:val="24"/>
        </w:rPr>
        <w:t>” published recently by the Department for Work and Pensions is available at:</w:t>
      </w:r>
      <w:r w:rsidRPr="0051743C">
        <w:rPr>
          <w:rFonts w:ascii="Arial" w:hAnsi="Arial" w:cs="Arial"/>
          <w:sz w:val="24"/>
          <w:szCs w:val="24"/>
        </w:rPr>
        <w:t xml:space="preserve"> </w:t>
      </w:r>
      <w:hyperlink r:id="rId8" w:history="1">
        <w:r w:rsidRPr="0051743C">
          <w:rPr>
            <w:rStyle w:val="Hyperlink"/>
            <w:rFonts w:ascii="Arial" w:hAnsi="Arial" w:cs="Arial"/>
            <w:sz w:val="24"/>
            <w:szCs w:val="24"/>
          </w:rPr>
          <w:t>https://www.gov.uk/government/consultations/capping-early-exit-charges-for-members-of-occupational-pension-schemes</w:t>
        </w:r>
      </w:hyperlink>
      <w:r w:rsidRPr="0051743C">
        <w:rPr>
          <w:rFonts w:ascii="Arial" w:hAnsi="Arial" w:cs="Arial"/>
          <w:sz w:val="24"/>
          <w:szCs w:val="24"/>
        </w:rPr>
        <w:t xml:space="preserve">  The proposed changes aim to give people in occupational pension schemes access to pension freedoms without the prospect of high penalty charges and to ensure greater consistency across the pensions landscape.</w:t>
      </w:r>
    </w:p>
    <w:p w:rsidR="004737B2" w:rsidRPr="0051743C" w:rsidRDefault="004737B2" w:rsidP="0051743C">
      <w:pPr>
        <w:spacing w:after="0" w:line="240" w:lineRule="auto"/>
        <w:jc w:val="both"/>
        <w:rPr>
          <w:rFonts w:ascii="Arial" w:hAnsi="Arial" w:cs="Arial"/>
          <w:sz w:val="24"/>
          <w:szCs w:val="24"/>
        </w:rPr>
      </w:pPr>
    </w:p>
    <w:p w:rsidR="008A07D6" w:rsidRPr="0051743C" w:rsidRDefault="008A07D6" w:rsidP="0051743C">
      <w:pPr>
        <w:spacing w:after="0" w:line="240" w:lineRule="auto"/>
        <w:ind w:right="21"/>
        <w:jc w:val="both"/>
        <w:rPr>
          <w:rFonts w:ascii="Arial" w:eastAsia="Arial" w:hAnsi="Arial" w:cs="Arial"/>
          <w:sz w:val="24"/>
          <w:szCs w:val="24"/>
        </w:rPr>
      </w:pPr>
      <w:r w:rsidRPr="0051743C">
        <w:rPr>
          <w:rFonts w:ascii="Arial" w:eastAsia="Arial" w:hAnsi="Arial" w:cs="Arial"/>
          <w:sz w:val="24"/>
          <w:szCs w:val="24"/>
        </w:rPr>
        <w:t>The consultation is complemented by work being undertaken by the Financial Conduct Authority (FCA) on the level of the c</w:t>
      </w:r>
      <w:r w:rsidR="00F65266">
        <w:rPr>
          <w:rFonts w:ascii="Arial" w:eastAsia="Arial" w:hAnsi="Arial" w:cs="Arial"/>
          <w:sz w:val="24"/>
          <w:szCs w:val="24"/>
        </w:rPr>
        <w:t>ap for personal pension schemes</w:t>
      </w:r>
      <w:r w:rsidRPr="0051743C">
        <w:rPr>
          <w:rFonts w:ascii="Arial" w:eastAsia="Arial" w:hAnsi="Arial" w:cs="Arial"/>
          <w:sz w:val="24"/>
          <w:szCs w:val="24"/>
        </w:rPr>
        <w:t xml:space="preserve">.  The FCA has published its own consultation on the proposed level of exit charge cap for contract-based personal pensions, available at: </w:t>
      </w:r>
      <w:hyperlink r:id="rId9" w:history="1">
        <w:r w:rsidRPr="0051743C">
          <w:rPr>
            <w:rStyle w:val="Hyperlink"/>
            <w:rFonts w:ascii="Arial" w:eastAsia="Arial" w:hAnsi="Arial" w:cs="Arial"/>
            <w:sz w:val="24"/>
            <w:szCs w:val="24"/>
          </w:rPr>
          <w:t>http://www.fca.org.uk/your-fca/documents/consultation-paper/cp16-15</w:t>
        </w:r>
      </w:hyperlink>
      <w:r w:rsidRPr="0051743C">
        <w:rPr>
          <w:rFonts w:ascii="Arial" w:eastAsia="Arial" w:hAnsi="Arial" w:cs="Arial"/>
          <w:sz w:val="24"/>
          <w:szCs w:val="24"/>
        </w:rPr>
        <w:t xml:space="preserve">  </w:t>
      </w:r>
      <w:proofErr w:type="gramStart"/>
      <w:r w:rsidRPr="0051743C">
        <w:rPr>
          <w:rFonts w:ascii="Arial" w:hAnsi="Arial" w:cs="Arial"/>
          <w:sz w:val="24"/>
          <w:szCs w:val="24"/>
        </w:rPr>
        <w:t>The</w:t>
      </w:r>
      <w:proofErr w:type="gramEnd"/>
      <w:r w:rsidRPr="0051743C">
        <w:rPr>
          <w:rFonts w:ascii="Arial" w:hAnsi="Arial" w:cs="Arial"/>
          <w:sz w:val="24"/>
          <w:szCs w:val="24"/>
        </w:rPr>
        <w:t xml:space="preserve"> intention is that any cap should apply across both occupational and personal pension schemes.</w:t>
      </w:r>
    </w:p>
    <w:p w:rsidR="008A07D6" w:rsidRPr="0051743C" w:rsidRDefault="008A07D6" w:rsidP="0051743C">
      <w:pPr>
        <w:spacing w:after="0" w:line="240" w:lineRule="auto"/>
        <w:ind w:right="21"/>
        <w:jc w:val="both"/>
        <w:rPr>
          <w:rFonts w:ascii="Arial" w:eastAsia="Arial" w:hAnsi="Arial" w:cs="Arial"/>
          <w:sz w:val="24"/>
          <w:szCs w:val="24"/>
        </w:rPr>
      </w:pPr>
    </w:p>
    <w:p w:rsidR="008A07D6" w:rsidRPr="0051743C" w:rsidRDefault="008A07D6" w:rsidP="0051743C">
      <w:pPr>
        <w:spacing w:after="0" w:line="240" w:lineRule="auto"/>
        <w:ind w:right="21"/>
        <w:jc w:val="both"/>
        <w:rPr>
          <w:rFonts w:ascii="Arial" w:eastAsia="Arial" w:hAnsi="Arial" w:cs="Arial"/>
          <w:sz w:val="24"/>
          <w:szCs w:val="24"/>
        </w:rPr>
      </w:pPr>
      <w:r w:rsidRPr="0051743C">
        <w:rPr>
          <w:rFonts w:ascii="Arial" w:eastAsia="Arial" w:hAnsi="Arial" w:cs="Arial"/>
          <w:sz w:val="24"/>
          <w:szCs w:val="24"/>
        </w:rPr>
        <w:t>The DWP paper follows HMT’s consultation on pension transfers and early exit charges (July 2015) and the government’s response (February 2016) and considers what action is required to ensure equality of treatment for occupational pension schemes and to identify any government</w:t>
      </w:r>
      <w:r w:rsidR="00F65266">
        <w:rPr>
          <w:rFonts w:ascii="Arial" w:eastAsia="Arial" w:hAnsi="Arial" w:cs="Arial"/>
          <w:sz w:val="24"/>
          <w:szCs w:val="24"/>
        </w:rPr>
        <w:t xml:space="preserve"> action required in this area.</w:t>
      </w:r>
    </w:p>
    <w:p w:rsidR="008A07D6" w:rsidRPr="0051743C" w:rsidRDefault="008A07D6" w:rsidP="0051743C">
      <w:pPr>
        <w:spacing w:after="0" w:line="240" w:lineRule="auto"/>
        <w:ind w:right="21"/>
        <w:jc w:val="both"/>
        <w:rPr>
          <w:rFonts w:ascii="Arial" w:eastAsia="Arial" w:hAnsi="Arial" w:cs="Arial"/>
          <w:sz w:val="24"/>
          <w:szCs w:val="24"/>
        </w:rPr>
      </w:pPr>
    </w:p>
    <w:p w:rsidR="008A07D6" w:rsidRPr="0051743C" w:rsidRDefault="008A07D6" w:rsidP="00F65266">
      <w:pPr>
        <w:keepLines/>
        <w:spacing w:after="0" w:line="240" w:lineRule="auto"/>
        <w:jc w:val="both"/>
        <w:rPr>
          <w:rFonts w:ascii="Arial" w:hAnsi="Arial" w:cs="Arial"/>
          <w:sz w:val="24"/>
          <w:szCs w:val="24"/>
        </w:rPr>
      </w:pPr>
      <w:r w:rsidRPr="0051743C">
        <w:rPr>
          <w:rFonts w:ascii="Arial" w:hAnsi="Arial" w:cs="Arial"/>
          <w:sz w:val="24"/>
          <w:szCs w:val="24"/>
        </w:rPr>
        <w:lastRenderedPageBreak/>
        <w:t>I would draw your attention to Annex B, page 23 of the paper which sets out how the law relating to Freedom of Information may apply to any comments made on the consultation paper.</w:t>
      </w:r>
    </w:p>
    <w:p w:rsidR="008A07D6" w:rsidRPr="0051743C" w:rsidRDefault="008A07D6" w:rsidP="0051743C">
      <w:pPr>
        <w:spacing w:after="0" w:line="240" w:lineRule="auto"/>
        <w:jc w:val="both"/>
        <w:rPr>
          <w:rFonts w:ascii="Arial" w:hAnsi="Arial" w:cs="Arial"/>
          <w:sz w:val="24"/>
          <w:szCs w:val="24"/>
        </w:rPr>
      </w:pPr>
    </w:p>
    <w:p w:rsidR="008A07D6" w:rsidRPr="0051743C" w:rsidRDefault="008A07D6" w:rsidP="0051743C">
      <w:pPr>
        <w:pStyle w:val="BodyTextIndent"/>
        <w:keepNext/>
        <w:keepLines/>
        <w:spacing w:after="0"/>
        <w:ind w:left="0"/>
        <w:jc w:val="both"/>
        <w:rPr>
          <w:rFonts w:cs="Arial"/>
          <w:b/>
          <w:szCs w:val="24"/>
        </w:rPr>
      </w:pPr>
      <w:r w:rsidRPr="0051743C">
        <w:rPr>
          <w:rFonts w:cs="Arial"/>
          <w:szCs w:val="24"/>
        </w:rPr>
        <w:t>If you wish to make any comments, please send by 16 August 2016 to:</w:t>
      </w:r>
    </w:p>
    <w:p w:rsidR="008A07D6" w:rsidRPr="0051743C" w:rsidRDefault="008A07D6" w:rsidP="0051743C">
      <w:pPr>
        <w:pStyle w:val="BodyTextIndent"/>
        <w:keepNext/>
        <w:keepLines/>
        <w:spacing w:after="0"/>
        <w:ind w:left="0"/>
        <w:jc w:val="both"/>
        <w:rPr>
          <w:rFonts w:cs="Arial"/>
          <w:szCs w:val="24"/>
        </w:rPr>
      </w:pPr>
    </w:p>
    <w:p w:rsidR="008A07D6" w:rsidRPr="0051743C" w:rsidRDefault="008A07D6" w:rsidP="0051743C">
      <w:pPr>
        <w:keepNext/>
        <w:keepLines/>
        <w:spacing w:after="0" w:line="240" w:lineRule="auto"/>
        <w:ind w:left="720"/>
        <w:jc w:val="both"/>
        <w:rPr>
          <w:rFonts w:ascii="Arial" w:hAnsi="Arial" w:cs="Arial"/>
          <w:sz w:val="24"/>
          <w:szCs w:val="24"/>
        </w:rPr>
      </w:pPr>
      <w:r w:rsidRPr="0051743C">
        <w:rPr>
          <w:rFonts w:ascii="Arial" w:hAnsi="Arial" w:cs="Arial"/>
          <w:sz w:val="24"/>
          <w:szCs w:val="24"/>
        </w:rPr>
        <w:t>Helen Wilson</w:t>
      </w:r>
    </w:p>
    <w:p w:rsidR="008A07D6" w:rsidRPr="0051743C" w:rsidRDefault="008A07D6" w:rsidP="0051743C">
      <w:pPr>
        <w:keepNext/>
        <w:keepLines/>
        <w:spacing w:after="0" w:line="240" w:lineRule="auto"/>
        <w:ind w:left="720"/>
        <w:jc w:val="both"/>
        <w:rPr>
          <w:rFonts w:ascii="Arial" w:hAnsi="Arial" w:cs="Arial"/>
          <w:sz w:val="24"/>
          <w:szCs w:val="24"/>
        </w:rPr>
      </w:pPr>
      <w:r w:rsidRPr="0051743C">
        <w:rPr>
          <w:rFonts w:ascii="Arial" w:hAnsi="Arial" w:cs="Arial"/>
          <w:sz w:val="24"/>
          <w:szCs w:val="24"/>
        </w:rPr>
        <w:t>Department for Communities</w:t>
      </w:r>
    </w:p>
    <w:p w:rsidR="008A07D6" w:rsidRPr="0051743C" w:rsidRDefault="008A07D6" w:rsidP="0051743C">
      <w:pPr>
        <w:keepNext/>
        <w:keepLines/>
        <w:spacing w:after="0" w:line="240" w:lineRule="auto"/>
        <w:ind w:left="720"/>
        <w:jc w:val="both"/>
        <w:rPr>
          <w:rFonts w:ascii="Arial" w:hAnsi="Arial" w:cs="Arial"/>
          <w:sz w:val="24"/>
          <w:szCs w:val="24"/>
        </w:rPr>
      </w:pPr>
      <w:r w:rsidRPr="0051743C">
        <w:rPr>
          <w:rFonts w:ascii="Arial" w:hAnsi="Arial" w:cs="Arial"/>
          <w:sz w:val="24"/>
          <w:szCs w:val="24"/>
        </w:rPr>
        <w:t>Social Security Policy and Legislation Division</w:t>
      </w:r>
    </w:p>
    <w:p w:rsidR="008A07D6" w:rsidRPr="0051743C" w:rsidRDefault="008A07D6" w:rsidP="0051743C">
      <w:pPr>
        <w:keepNext/>
        <w:keepLines/>
        <w:spacing w:after="0" w:line="240" w:lineRule="auto"/>
        <w:ind w:left="720"/>
        <w:jc w:val="both"/>
        <w:rPr>
          <w:rFonts w:ascii="Arial" w:hAnsi="Arial" w:cs="Arial"/>
          <w:sz w:val="24"/>
          <w:szCs w:val="24"/>
        </w:rPr>
      </w:pPr>
      <w:r w:rsidRPr="0051743C">
        <w:rPr>
          <w:rFonts w:ascii="Arial" w:hAnsi="Arial" w:cs="Arial"/>
          <w:sz w:val="24"/>
          <w:szCs w:val="24"/>
        </w:rPr>
        <w:t>Level 1</w:t>
      </w:r>
    </w:p>
    <w:p w:rsidR="008A07D6" w:rsidRPr="0051743C" w:rsidRDefault="008A07D6" w:rsidP="0051743C">
      <w:pPr>
        <w:keepNext/>
        <w:keepLines/>
        <w:spacing w:after="0" w:line="240" w:lineRule="auto"/>
        <w:ind w:left="720"/>
        <w:jc w:val="both"/>
        <w:rPr>
          <w:rFonts w:ascii="Arial" w:hAnsi="Arial" w:cs="Arial"/>
          <w:sz w:val="24"/>
          <w:szCs w:val="24"/>
        </w:rPr>
      </w:pPr>
      <w:r w:rsidRPr="0051743C">
        <w:rPr>
          <w:rFonts w:ascii="Arial" w:hAnsi="Arial" w:cs="Arial"/>
          <w:sz w:val="24"/>
          <w:szCs w:val="24"/>
        </w:rPr>
        <w:t>James House</w:t>
      </w:r>
    </w:p>
    <w:p w:rsidR="008A07D6" w:rsidRPr="0051743C" w:rsidRDefault="008A07D6" w:rsidP="0051743C">
      <w:pPr>
        <w:keepNext/>
        <w:keepLines/>
        <w:spacing w:after="0" w:line="240" w:lineRule="auto"/>
        <w:ind w:left="720"/>
        <w:jc w:val="both"/>
        <w:rPr>
          <w:rFonts w:ascii="Arial" w:hAnsi="Arial" w:cs="Arial"/>
          <w:sz w:val="24"/>
          <w:szCs w:val="24"/>
        </w:rPr>
      </w:pPr>
      <w:r w:rsidRPr="0051743C">
        <w:rPr>
          <w:rFonts w:ascii="Arial" w:hAnsi="Arial" w:cs="Arial"/>
          <w:sz w:val="24"/>
          <w:szCs w:val="24"/>
        </w:rPr>
        <w:t xml:space="preserve">2-4 </w:t>
      </w:r>
      <w:proofErr w:type="spellStart"/>
      <w:r w:rsidRPr="0051743C">
        <w:rPr>
          <w:rFonts w:ascii="Arial" w:hAnsi="Arial" w:cs="Arial"/>
          <w:sz w:val="24"/>
          <w:szCs w:val="24"/>
        </w:rPr>
        <w:t>Cromac</w:t>
      </w:r>
      <w:proofErr w:type="spellEnd"/>
      <w:r w:rsidRPr="0051743C">
        <w:rPr>
          <w:rFonts w:ascii="Arial" w:hAnsi="Arial" w:cs="Arial"/>
          <w:sz w:val="24"/>
          <w:szCs w:val="24"/>
        </w:rPr>
        <w:t xml:space="preserve"> Avenue</w:t>
      </w:r>
    </w:p>
    <w:p w:rsidR="008A07D6" w:rsidRPr="0051743C" w:rsidRDefault="008A07D6" w:rsidP="0051743C">
      <w:pPr>
        <w:keepNext/>
        <w:keepLines/>
        <w:spacing w:after="0" w:line="240" w:lineRule="auto"/>
        <w:ind w:left="720"/>
        <w:jc w:val="both"/>
        <w:rPr>
          <w:rFonts w:ascii="Arial" w:hAnsi="Arial" w:cs="Arial"/>
          <w:sz w:val="24"/>
          <w:szCs w:val="24"/>
        </w:rPr>
      </w:pPr>
      <w:r w:rsidRPr="0051743C">
        <w:rPr>
          <w:rFonts w:ascii="Arial" w:hAnsi="Arial" w:cs="Arial"/>
          <w:sz w:val="24"/>
          <w:szCs w:val="24"/>
        </w:rPr>
        <w:t>Gasworks Business Park</w:t>
      </w:r>
    </w:p>
    <w:p w:rsidR="008A07D6" w:rsidRPr="0051743C" w:rsidRDefault="008A07D6" w:rsidP="0051743C">
      <w:pPr>
        <w:keepNext/>
        <w:keepLines/>
        <w:spacing w:after="0" w:line="240" w:lineRule="auto"/>
        <w:ind w:left="720"/>
        <w:jc w:val="both"/>
        <w:rPr>
          <w:rFonts w:ascii="Arial" w:hAnsi="Arial" w:cs="Arial"/>
          <w:sz w:val="24"/>
          <w:szCs w:val="24"/>
        </w:rPr>
      </w:pPr>
      <w:proofErr w:type="spellStart"/>
      <w:r w:rsidRPr="0051743C">
        <w:rPr>
          <w:rFonts w:ascii="Arial" w:hAnsi="Arial" w:cs="Arial"/>
          <w:sz w:val="24"/>
          <w:szCs w:val="24"/>
        </w:rPr>
        <w:t>Ormeau</w:t>
      </w:r>
      <w:proofErr w:type="spellEnd"/>
      <w:r w:rsidRPr="0051743C">
        <w:rPr>
          <w:rFonts w:ascii="Arial" w:hAnsi="Arial" w:cs="Arial"/>
          <w:sz w:val="24"/>
          <w:szCs w:val="24"/>
        </w:rPr>
        <w:t xml:space="preserve"> Road</w:t>
      </w:r>
    </w:p>
    <w:p w:rsidR="008A07D6" w:rsidRPr="0051743C" w:rsidRDefault="008A07D6" w:rsidP="0051743C">
      <w:pPr>
        <w:keepNext/>
        <w:keepLines/>
        <w:spacing w:after="0" w:line="240" w:lineRule="auto"/>
        <w:ind w:left="720"/>
        <w:jc w:val="both"/>
        <w:rPr>
          <w:rFonts w:ascii="Arial" w:hAnsi="Arial" w:cs="Arial"/>
          <w:sz w:val="24"/>
          <w:szCs w:val="24"/>
        </w:rPr>
      </w:pPr>
      <w:r w:rsidRPr="0051743C">
        <w:rPr>
          <w:rFonts w:ascii="Arial" w:hAnsi="Arial" w:cs="Arial"/>
          <w:sz w:val="24"/>
          <w:szCs w:val="24"/>
        </w:rPr>
        <w:t>BELFAST</w:t>
      </w:r>
    </w:p>
    <w:p w:rsidR="008A07D6" w:rsidRPr="0051743C" w:rsidRDefault="008A07D6" w:rsidP="0051743C">
      <w:pPr>
        <w:keepNext/>
        <w:keepLines/>
        <w:spacing w:after="0" w:line="240" w:lineRule="auto"/>
        <w:ind w:left="720"/>
        <w:jc w:val="both"/>
        <w:rPr>
          <w:rFonts w:ascii="Arial" w:hAnsi="Arial" w:cs="Arial"/>
          <w:sz w:val="24"/>
          <w:szCs w:val="24"/>
        </w:rPr>
      </w:pPr>
      <w:r w:rsidRPr="0051743C">
        <w:rPr>
          <w:rFonts w:ascii="Arial" w:hAnsi="Arial" w:cs="Arial"/>
          <w:sz w:val="24"/>
          <w:szCs w:val="24"/>
        </w:rPr>
        <w:t>BT7 2JA</w:t>
      </w:r>
    </w:p>
    <w:p w:rsidR="008A07D6" w:rsidRPr="0051743C" w:rsidRDefault="008A07D6" w:rsidP="0051743C">
      <w:pPr>
        <w:keepNext/>
        <w:keepLines/>
        <w:spacing w:after="0" w:line="240" w:lineRule="auto"/>
        <w:jc w:val="both"/>
        <w:rPr>
          <w:rFonts w:ascii="Arial" w:hAnsi="Arial" w:cs="Arial"/>
          <w:sz w:val="24"/>
          <w:szCs w:val="24"/>
        </w:rPr>
      </w:pPr>
    </w:p>
    <w:p w:rsidR="008A07D6" w:rsidRPr="0051743C" w:rsidRDefault="008A07D6" w:rsidP="0051743C">
      <w:pPr>
        <w:keepNext/>
        <w:keepLines/>
        <w:spacing w:after="0" w:line="240" w:lineRule="auto"/>
        <w:ind w:left="720"/>
        <w:jc w:val="both"/>
        <w:rPr>
          <w:rFonts w:ascii="Arial" w:hAnsi="Arial" w:cs="Arial"/>
          <w:sz w:val="24"/>
          <w:szCs w:val="24"/>
        </w:rPr>
      </w:pPr>
      <w:r w:rsidRPr="0051743C">
        <w:rPr>
          <w:rFonts w:ascii="Arial" w:hAnsi="Arial" w:cs="Arial"/>
          <w:sz w:val="24"/>
          <w:szCs w:val="24"/>
        </w:rPr>
        <w:t xml:space="preserve">Telephone: </w:t>
      </w:r>
      <w:r w:rsidR="000816EE">
        <w:rPr>
          <w:rFonts w:ascii="Arial" w:hAnsi="Arial" w:cs="Arial"/>
          <w:sz w:val="24"/>
          <w:szCs w:val="24"/>
        </w:rPr>
        <w:t xml:space="preserve"> </w:t>
      </w:r>
      <w:r w:rsidRPr="0051743C">
        <w:rPr>
          <w:rFonts w:ascii="Arial" w:hAnsi="Arial" w:cs="Arial"/>
          <w:sz w:val="24"/>
          <w:szCs w:val="24"/>
        </w:rPr>
        <w:t>028 9081 9122</w:t>
      </w:r>
      <w:r w:rsidRPr="0051743C">
        <w:rPr>
          <w:rFonts w:ascii="Arial" w:hAnsi="Arial" w:cs="Arial"/>
          <w:sz w:val="24"/>
          <w:szCs w:val="24"/>
        </w:rPr>
        <w:tab/>
      </w:r>
      <w:r w:rsidRPr="0051743C">
        <w:rPr>
          <w:rFonts w:ascii="Arial" w:hAnsi="Arial" w:cs="Arial"/>
          <w:sz w:val="24"/>
          <w:szCs w:val="24"/>
        </w:rPr>
        <w:tab/>
        <w:t xml:space="preserve">Text Phone: </w:t>
      </w:r>
      <w:r w:rsidR="000816EE">
        <w:rPr>
          <w:rFonts w:ascii="Arial" w:hAnsi="Arial" w:cs="Arial"/>
          <w:sz w:val="24"/>
          <w:szCs w:val="24"/>
        </w:rPr>
        <w:t xml:space="preserve"> </w:t>
      </w:r>
      <w:r w:rsidRPr="0051743C">
        <w:rPr>
          <w:rFonts w:ascii="Arial" w:hAnsi="Arial" w:cs="Arial"/>
          <w:sz w:val="24"/>
          <w:szCs w:val="24"/>
        </w:rPr>
        <w:t>028 9081 9140</w:t>
      </w:r>
    </w:p>
    <w:p w:rsidR="008A07D6" w:rsidRPr="0051743C" w:rsidRDefault="008A07D6" w:rsidP="0051743C">
      <w:pPr>
        <w:spacing w:after="0" w:line="240" w:lineRule="auto"/>
        <w:jc w:val="both"/>
        <w:rPr>
          <w:rFonts w:ascii="Arial" w:hAnsi="Arial" w:cs="Arial"/>
          <w:sz w:val="24"/>
          <w:szCs w:val="24"/>
        </w:rPr>
      </w:pPr>
    </w:p>
    <w:p w:rsidR="008A07D6" w:rsidRPr="0051743C" w:rsidRDefault="008A07D6" w:rsidP="0051743C">
      <w:pPr>
        <w:keepNext/>
        <w:spacing w:after="0" w:line="240" w:lineRule="auto"/>
        <w:jc w:val="both"/>
        <w:rPr>
          <w:rFonts w:ascii="Arial" w:hAnsi="Arial" w:cs="Arial"/>
          <w:sz w:val="24"/>
          <w:szCs w:val="24"/>
        </w:rPr>
      </w:pPr>
      <w:r w:rsidRPr="0051743C">
        <w:rPr>
          <w:rFonts w:ascii="Arial" w:hAnsi="Arial" w:cs="Arial"/>
          <w:sz w:val="24"/>
          <w:szCs w:val="24"/>
        </w:rPr>
        <w:t>You can also respond using the following e-mail address:</w:t>
      </w:r>
    </w:p>
    <w:p w:rsidR="008A07D6" w:rsidRPr="0051743C" w:rsidRDefault="008A07D6" w:rsidP="0051743C">
      <w:pPr>
        <w:keepNext/>
        <w:spacing w:after="0" w:line="240" w:lineRule="auto"/>
        <w:jc w:val="both"/>
        <w:rPr>
          <w:rFonts w:ascii="Arial" w:hAnsi="Arial" w:cs="Arial"/>
          <w:sz w:val="24"/>
          <w:szCs w:val="24"/>
        </w:rPr>
      </w:pPr>
    </w:p>
    <w:p w:rsidR="008A07D6" w:rsidRPr="0051743C" w:rsidRDefault="00A87178" w:rsidP="0051743C">
      <w:pPr>
        <w:keepNext/>
        <w:spacing w:after="0" w:line="240" w:lineRule="auto"/>
        <w:ind w:firstLine="720"/>
        <w:jc w:val="both"/>
        <w:rPr>
          <w:rFonts w:ascii="Arial" w:hAnsi="Arial" w:cs="Arial"/>
          <w:b/>
          <w:sz w:val="24"/>
          <w:szCs w:val="24"/>
        </w:rPr>
      </w:pPr>
      <w:hyperlink r:id="rId10" w:history="1">
        <w:r w:rsidR="009156BF" w:rsidRPr="0051743C">
          <w:rPr>
            <w:rStyle w:val="Hyperlink"/>
            <w:rFonts w:ascii="Arial" w:hAnsi="Arial" w:cs="Arial"/>
            <w:b/>
            <w:sz w:val="24"/>
            <w:szCs w:val="24"/>
          </w:rPr>
          <w:t>helen.wilson@communities-ni.gsi.gov.uk</w:t>
        </w:r>
      </w:hyperlink>
    </w:p>
    <w:p w:rsidR="008A07D6" w:rsidRPr="0051743C" w:rsidRDefault="008A07D6" w:rsidP="0051743C">
      <w:pPr>
        <w:spacing w:after="0" w:line="240" w:lineRule="auto"/>
        <w:ind w:right="21"/>
        <w:jc w:val="both"/>
        <w:rPr>
          <w:rFonts w:ascii="Arial" w:eastAsia="Arial" w:hAnsi="Arial" w:cs="Arial"/>
          <w:sz w:val="24"/>
          <w:szCs w:val="24"/>
        </w:rPr>
      </w:pPr>
    </w:p>
    <w:p w:rsidR="008A07D6" w:rsidRPr="0051743C" w:rsidRDefault="008A07D6" w:rsidP="0051743C">
      <w:pPr>
        <w:spacing w:after="0" w:line="240" w:lineRule="auto"/>
        <w:ind w:right="21"/>
        <w:jc w:val="both"/>
        <w:rPr>
          <w:rFonts w:ascii="Arial" w:eastAsia="Arial" w:hAnsi="Arial" w:cs="Arial"/>
          <w:sz w:val="24"/>
          <w:szCs w:val="24"/>
        </w:rPr>
      </w:pPr>
    </w:p>
    <w:p w:rsidR="008A07D6" w:rsidRPr="0051743C" w:rsidRDefault="008A07D6" w:rsidP="0051743C">
      <w:pPr>
        <w:spacing w:after="0" w:line="240" w:lineRule="auto"/>
        <w:jc w:val="both"/>
        <w:rPr>
          <w:rFonts w:ascii="Arial" w:hAnsi="Arial" w:cs="Arial"/>
          <w:sz w:val="24"/>
          <w:szCs w:val="24"/>
        </w:rPr>
      </w:pPr>
      <w:r w:rsidRPr="0051743C">
        <w:rPr>
          <w:rFonts w:ascii="Arial" w:hAnsi="Arial" w:cs="Arial"/>
          <w:sz w:val="24"/>
          <w:szCs w:val="24"/>
        </w:rPr>
        <w:t>Yours faithfully</w:t>
      </w:r>
    </w:p>
    <w:p w:rsidR="008A07D6" w:rsidRPr="0051743C" w:rsidRDefault="008A07D6" w:rsidP="0051743C">
      <w:pPr>
        <w:spacing w:after="0" w:line="240" w:lineRule="auto"/>
        <w:jc w:val="both"/>
        <w:rPr>
          <w:rFonts w:ascii="Arial" w:hAnsi="Arial" w:cs="Arial"/>
          <w:sz w:val="24"/>
          <w:szCs w:val="24"/>
        </w:rPr>
      </w:pPr>
    </w:p>
    <w:p w:rsidR="008A07D6" w:rsidRPr="0051743C" w:rsidRDefault="008A07D6" w:rsidP="0051743C">
      <w:pPr>
        <w:spacing w:after="0" w:line="240" w:lineRule="auto"/>
        <w:jc w:val="both"/>
        <w:rPr>
          <w:rFonts w:ascii="Arial" w:hAnsi="Arial" w:cs="Arial"/>
          <w:sz w:val="24"/>
          <w:szCs w:val="24"/>
        </w:rPr>
      </w:pPr>
      <w:r w:rsidRPr="0051743C">
        <w:rPr>
          <w:rFonts w:ascii="Arial" w:hAnsi="Arial" w:cs="Arial"/>
          <w:noProof/>
          <w:color w:val="0000FF"/>
          <w:sz w:val="24"/>
          <w:szCs w:val="24"/>
          <w:lang w:val="en-GB" w:eastAsia="en-GB"/>
        </w:rPr>
        <w:drawing>
          <wp:inline distT="0" distB="0" distL="0" distR="0">
            <wp:extent cx="2345690" cy="707390"/>
            <wp:effectExtent l="19050" t="0" r="0" b="0"/>
            <wp:docPr id="1" name="Picture 1" descr="Ann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es Signature"/>
                    <pic:cNvPicPr>
                      <a:picLocks noChangeAspect="1" noChangeArrowheads="1"/>
                    </pic:cNvPicPr>
                  </pic:nvPicPr>
                  <pic:blipFill>
                    <a:blip r:embed="rId11" cstate="print"/>
                    <a:srcRect/>
                    <a:stretch>
                      <a:fillRect/>
                    </a:stretch>
                  </pic:blipFill>
                  <pic:spPr bwMode="auto">
                    <a:xfrm>
                      <a:off x="0" y="0"/>
                      <a:ext cx="2345690" cy="707390"/>
                    </a:xfrm>
                    <a:prstGeom prst="rect">
                      <a:avLst/>
                    </a:prstGeom>
                    <a:noFill/>
                    <a:ln w="9525">
                      <a:noFill/>
                      <a:miter lim="800000"/>
                      <a:headEnd/>
                      <a:tailEnd/>
                    </a:ln>
                  </pic:spPr>
                </pic:pic>
              </a:graphicData>
            </a:graphic>
          </wp:inline>
        </w:drawing>
      </w:r>
    </w:p>
    <w:p w:rsidR="008A07D6" w:rsidRPr="0051743C" w:rsidRDefault="008A07D6" w:rsidP="0051743C">
      <w:pPr>
        <w:spacing w:after="0" w:line="240" w:lineRule="auto"/>
        <w:jc w:val="both"/>
        <w:rPr>
          <w:rFonts w:ascii="Arial" w:hAnsi="Arial" w:cs="Arial"/>
          <w:sz w:val="24"/>
          <w:szCs w:val="24"/>
        </w:rPr>
      </w:pPr>
      <w:r w:rsidRPr="0051743C">
        <w:rPr>
          <w:rFonts w:ascii="Arial" w:hAnsi="Arial" w:cs="Arial"/>
          <w:sz w:val="24"/>
          <w:szCs w:val="24"/>
        </w:rPr>
        <w:t xml:space="preserve">ANNE </w:t>
      </w:r>
      <w:proofErr w:type="spellStart"/>
      <w:r w:rsidRPr="0051743C">
        <w:rPr>
          <w:rFonts w:ascii="Arial" w:hAnsi="Arial" w:cs="Arial"/>
          <w:sz w:val="24"/>
          <w:szCs w:val="24"/>
        </w:rPr>
        <w:t>McCLEARY</w:t>
      </w:r>
      <w:proofErr w:type="spellEnd"/>
    </w:p>
    <w:p w:rsidR="00B5321C" w:rsidRPr="0051743C" w:rsidRDefault="008A07D6" w:rsidP="0051743C">
      <w:pPr>
        <w:spacing w:after="0" w:line="240" w:lineRule="auto"/>
        <w:jc w:val="both"/>
        <w:rPr>
          <w:rFonts w:ascii="Arial" w:hAnsi="Arial" w:cs="Arial"/>
          <w:sz w:val="24"/>
          <w:szCs w:val="24"/>
        </w:rPr>
      </w:pPr>
      <w:r w:rsidRPr="0051743C">
        <w:rPr>
          <w:rFonts w:ascii="Arial" w:hAnsi="Arial" w:cs="Arial"/>
          <w:sz w:val="24"/>
          <w:szCs w:val="24"/>
        </w:rPr>
        <w:t>Director of Social Security Policy and Legislation</w:t>
      </w:r>
    </w:p>
    <w:sectPr w:rsidR="00B5321C" w:rsidRPr="0051743C" w:rsidSect="00B5321C">
      <w:footerReference w:type="default" r:id="rId12"/>
      <w:pgSz w:w="11906" w:h="16838"/>
      <w:pgMar w:top="1440" w:right="1440" w:bottom="170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6EE" w:rsidRDefault="000816EE" w:rsidP="003A14A9">
      <w:pPr>
        <w:spacing w:after="0" w:line="240" w:lineRule="auto"/>
      </w:pPr>
      <w:r>
        <w:separator/>
      </w:r>
    </w:p>
  </w:endnote>
  <w:endnote w:type="continuationSeparator" w:id="0">
    <w:p w:rsidR="000816EE" w:rsidRDefault="000816EE" w:rsidP="003A14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6EE" w:rsidRDefault="000816EE">
    <w:pPr>
      <w:pStyle w:val="Footer"/>
    </w:pPr>
    <w:r w:rsidRPr="003A14A9">
      <w:rPr>
        <w:noProof/>
        <w:lang w:val="en-GB" w:eastAsia="en-GB"/>
      </w:rPr>
      <w:drawing>
        <wp:inline distT="0" distB="0" distL="0" distR="0">
          <wp:extent cx="1066800" cy="342875"/>
          <wp:effectExtent l="19050" t="0" r="0" b="0"/>
          <wp:docPr id="5" name="Picture 1" descr="IIP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_LOGO_BLACK.jpg"/>
                  <pic:cNvPicPr/>
                </pic:nvPicPr>
                <pic:blipFill>
                  <a:blip r:embed="rId1" cstate="print"/>
                  <a:stretch>
                    <a:fillRect/>
                  </a:stretch>
                </pic:blipFill>
                <pic:spPr>
                  <a:xfrm>
                    <a:off x="0" y="0"/>
                    <a:ext cx="1069011" cy="343586"/>
                  </a:xfrm>
                  <a:prstGeom prst="rect">
                    <a:avLst/>
                  </a:prstGeom>
                </pic:spPr>
              </pic:pic>
            </a:graphicData>
          </a:graphic>
        </wp:inline>
      </w:drawing>
    </w:r>
  </w:p>
  <w:p w:rsidR="000816EE" w:rsidRDefault="00A87178">
    <w:pPr>
      <w:pStyle w:val="Footer"/>
    </w:pPr>
    <w:r>
      <w:rPr>
        <w:noProof/>
        <w:lang w:val="en-GB" w:eastAsia="en-GB"/>
      </w:rPr>
      <w:pict>
        <v:rect id="_x0000_s2049" style="position:absolute;margin-left:-88.5pt;margin-top:13.4pt;width:375pt;height:52.2pt;z-index:251658240" fillcolor="#7d55c7"/>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6EE" w:rsidRDefault="000816EE" w:rsidP="003A14A9">
      <w:pPr>
        <w:spacing w:after="0" w:line="240" w:lineRule="auto"/>
      </w:pPr>
      <w:r>
        <w:separator/>
      </w:r>
    </w:p>
  </w:footnote>
  <w:footnote w:type="continuationSeparator" w:id="0">
    <w:p w:rsidR="000816EE" w:rsidRDefault="000816EE" w:rsidP="003A14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3A14A9"/>
    <w:rsid w:val="000137AF"/>
    <w:rsid w:val="00046B92"/>
    <w:rsid w:val="000816EE"/>
    <w:rsid w:val="000C7CA1"/>
    <w:rsid w:val="00184DC2"/>
    <w:rsid w:val="001D70F7"/>
    <w:rsid w:val="0026577A"/>
    <w:rsid w:val="003A14A9"/>
    <w:rsid w:val="003C3428"/>
    <w:rsid w:val="003C46A0"/>
    <w:rsid w:val="004737B2"/>
    <w:rsid w:val="0051743C"/>
    <w:rsid w:val="00610B4E"/>
    <w:rsid w:val="006D189A"/>
    <w:rsid w:val="007964A3"/>
    <w:rsid w:val="0081574B"/>
    <w:rsid w:val="00847901"/>
    <w:rsid w:val="008754FD"/>
    <w:rsid w:val="008A07D6"/>
    <w:rsid w:val="008D0F90"/>
    <w:rsid w:val="009156BF"/>
    <w:rsid w:val="009B64B9"/>
    <w:rsid w:val="009C6B6A"/>
    <w:rsid w:val="00A87178"/>
    <w:rsid w:val="00AE49C5"/>
    <w:rsid w:val="00B5321C"/>
    <w:rsid w:val="00BF2C77"/>
    <w:rsid w:val="00CB571A"/>
    <w:rsid w:val="00DD2A85"/>
    <w:rsid w:val="00E65607"/>
    <w:rsid w:val="00E82F81"/>
    <w:rsid w:val="00EE4453"/>
    <w:rsid w:val="00F02A55"/>
    <w:rsid w:val="00F159C9"/>
    <w:rsid w:val="00F65266"/>
    <w:rsid w:val="00F72E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4A9"/>
    <w:pPr>
      <w:widowControl w:val="0"/>
    </w:pPr>
    <w:rPr>
      <w:lang w:val="en-US"/>
    </w:rPr>
  </w:style>
  <w:style w:type="paragraph" w:styleId="Heading1">
    <w:name w:val="heading 1"/>
    <w:basedOn w:val="Normal"/>
    <w:next w:val="Normal"/>
    <w:link w:val="Heading1Char"/>
    <w:uiPriority w:val="9"/>
    <w:qFormat/>
    <w:rsid w:val="008479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79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79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79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9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79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790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7901"/>
    <w:rPr>
      <w:rFonts w:asciiTheme="majorHAnsi" w:eastAsiaTheme="majorEastAsia" w:hAnsiTheme="majorHAnsi" w:cstheme="majorBidi"/>
      <w:b/>
      <w:bCs/>
      <w:i/>
      <w:iCs/>
      <w:color w:val="4F81BD" w:themeColor="accent1"/>
    </w:rPr>
  </w:style>
  <w:style w:type="paragraph" w:styleId="NoSpacing">
    <w:name w:val="No Spacing"/>
    <w:uiPriority w:val="1"/>
    <w:qFormat/>
    <w:rsid w:val="00847901"/>
    <w:pPr>
      <w:spacing w:after="0" w:line="240" w:lineRule="auto"/>
    </w:pPr>
  </w:style>
  <w:style w:type="table" w:styleId="TableGrid">
    <w:name w:val="Table Grid"/>
    <w:basedOn w:val="TableNormal"/>
    <w:uiPriority w:val="59"/>
    <w:rsid w:val="003A14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A14A9"/>
    <w:pPr>
      <w:widowControl/>
      <w:tabs>
        <w:tab w:val="center" w:pos="4153"/>
        <w:tab w:val="right" w:pos="8306"/>
      </w:tabs>
      <w:spacing w:after="0" w:line="240" w:lineRule="auto"/>
    </w:pPr>
    <w:rPr>
      <w:rFonts w:ascii="Arial" w:eastAsia="Times New Roman" w:hAnsi="Arial" w:cs="Times New Roman"/>
      <w:sz w:val="24"/>
      <w:szCs w:val="20"/>
      <w:lang w:val="en-GB"/>
    </w:rPr>
  </w:style>
  <w:style w:type="character" w:customStyle="1" w:styleId="HeaderChar">
    <w:name w:val="Header Char"/>
    <w:basedOn w:val="DefaultParagraphFont"/>
    <w:link w:val="Header"/>
    <w:uiPriority w:val="99"/>
    <w:rsid w:val="003A14A9"/>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3A1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4A9"/>
    <w:rPr>
      <w:rFonts w:ascii="Tahoma" w:hAnsi="Tahoma" w:cs="Tahoma"/>
      <w:sz w:val="16"/>
      <w:szCs w:val="16"/>
      <w:lang w:val="en-US"/>
    </w:rPr>
  </w:style>
  <w:style w:type="paragraph" w:styleId="Footer">
    <w:name w:val="footer"/>
    <w:basedOn w:val="Normal"/>
    <w:link w:val="FooterChar"/>
    <w:uiPriority w:val="99"/>
    <w:semiHidden/>
    <w:unhideWhenUsed/>
    <w:rsid w:val="003A14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A14A9"/>
    <w:rPr>
      <w:lang w:val="en-US"/>
    </w:rPr>
  </w:style>
  <w:style w:type="character" w:styleId="Hyperlink">
    <w:name w:val="Hyperlink"/>
    <w:basedOn w:val="DefaultParagraphFont"/>
    <w:uiPriority w:val="99"/>
    <w:unhideWhenUsed/>
    <w:rsid w:val="008A07D6"/>
    <w:rPr>
      <w:color w:val="0000FF" w:themeColor="hyperlink"/>
      <w:u w:val="single"/>
    </w:rPr>
  </w:style>
  <w:style w:type="paragraph" w:styleId="BodyTextIndent">
    <w:name w:val="Body Text Indent"/>
    <w:basedOn w:val="Normal"/>
    <w:link w:val="BodyTextIndentChar"/>
    <w:rsid w:val="008A07D6"/>
    <w:pPr>
      <w:widowControl/>
      <w:spacing w:after="120" w:line="240" w:lineRule="auto"/>
      <w:ind w:left="283"/>
    </w:pPr>
    <w:rPr>
      <w:rFonts w:ascii="Arial" w:eastAsia="Times New Roman" w:hAnsi="Arial" w:cs="Times New Roman"/>
      <w:sz w:val="24"/>
      <w:szCs w:val="20"/>
      <w:lang w:val="en-GB"/>
    </w:rPr>
  </w:style>
  <w:style w:type="character" w:customStyle="1" w:styleId="BodyTextIndentChar">
    <w:name w:val="Body Text Indent Char"/>
    <w:basedOn w:val="DefaultParagraphFont"/>
    <w:link w:val="BodyTextIndent"/>
    <w:rsid w:val="008A07D6"/>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capping-early-exit-charges-for-members-of-occupational-pension-schem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ne.mccleary@communities-ni.gsi.gov.uk"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endnotes" Target="endnotes.xml"/><Relationship Id="rId10" Type="http://schemas.openxmlformats.org/officeDocument/2006/relationships/hyperlink" Target="mailto:helen.wilson@communities-ni.gsi.gov.uk" TargetMode="External"/><Relationship Id="rId4" Type="http://schemas.openxmlformats.org/officeDocument/2006/relationships/footnotes" Target="footnotes.xml"/><Relationship Id="rId9" Type="http://schemas.openxmlformats.org/officeDocument/2006/relationships/hyperlink" Target="http://www.fca.org.uk/your-fca/documents/consultation-paper/cp16-15"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Banks</dc:creator>
  <cp:keywords/>
  <dc:description/>
  <cp:lastModifiedBy>Helen Wilson</cp:lastModifiedBy>
  <cp:revision>11</cp:revision>
  <cp:lastPrinted>2016-06-02T10:53:00Z</cp:lastPrinted>
  <dcterms:created xsi:type="dcterms:W3CDTF">2016-05-16T12:23:00Z</dcterms:created>
  <dcterms:modified xsi:type="dcterms:W3CDTF">2016-06-03T10:19:00Z</dcterms:modified>
</cp:coreProperties>
</file>