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963EA" w14:textId="77777777" w:rsidR="00D9130B" w:rsidRDefault="00D9130B" w:rsidP="00A132A5">
      <w:pPr>
        <w:widowControl w:val="0"/>
        <w:autoSpaceDE w:val="0"/>
        <w:autoSpaceDN w:val="0"/>
        <w:adjustRightInd w:val="0"/>
        <w:ind w:right="-76"/>
        <w:rPr>
          <w:rFonts w:cs="Arial"/>
          <w:position w:val="-1"/>
        </w:rPr>
      </w:pPr>
    </w:p>
    <w:p w14:paraId="760AD51B" w14:textId="77777777" w:rsidR="00D9130B" w:rsidRDefault="00D9130B" w:rsidP="00D9130B">
      <w:pPr>
        <w:widowControl w:val="0"/>
        <w:autoSpaceDE w:val="0"/>
        <w:autoSpaceDN w:val="0"/>
        <w:adjustRightInd w:val="0"/>
        <w:ind w:right="-76"/>
        <w:jc w:val="center"/>
        <w:rPr>
          <w:rFonts w:cs="Arial"/>
          <w:position w:val="-1"/>
        </w:rPr>
      </w:pPr>
      <w:r w:rsidRPr="00D9130B">
        <w:rPr>
          <w:rFonts w:cs="Arial"/>
          <w:noProof/>
          <w:position w:val="-1"/>
        </w:rPr>
        <w:drawing>
          <wp:inline distT="0" distB="0" distL="0" distR="0" wp14:anchorId="51B18D2A" wp14:editId="4E64748B">
            <wp:extent cx="2160000" cy="532987"/>
            <wp:effectExtent l="19050" t="0" r="0" b="0"/>
            <wp:docPr id="2" name="Picture 2" descr="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unities Logo"/>
                    <pic:cNvPicPr/>
                  </pic:nvPicPr>
                  <pic:blipFill>
                    <a:blip r:embed="rId8" cstate="print"/>
                    <a:stretch>
                      <a:fillRect/>
                    </a:stretch>
                  </pic:blipFill>
                  <pic:spPr>
                    <a:xfrm>
                      <a:off x="0" y="0"/>
                      <a:ext cx="2160000" cy="532987"/>
                    </a:xfrm>
                    <a:prstGeom prst="rect">
                      <a:avLst/>
                    </a:prstGeom>
                  </pic:spPr>
                </pic:pic>
              </a:graphicData>
            </a:graphic>
          </wp:inline>
        </w:drawing>
      </w:r>
    </w:p>
    <w:p w14:paraId="189E697E" w14:textId="77777777" w:rsidR="00D9130B" w:rsidRDefault="00D9130B" w:rsidP="00D9130B">
      <w:pPr>
        <w:widowControl w:val="0"/>
        <w:autoSpaceDE w:val="0"/>
        <w:autoSpaceDN w:val="0"/>
        <w:adjustRightInd w:val="0"/>
        <w:ind w:right="-76"/>
        <w:jc w:val="center"/>
        <w:rPr>
          <w:rFonts w:cs="Arial"/>
          <w:position w:val="-1"/>
        </w:rPr>
      </w:pPr>
    </w:p>
    <w:tbl>
      <w:tblPr>
        <w:tblW w:w="11510" w:type="dxa"/>
        <w:tblLayout w:type="fixed"/>
        <w:tblCellMar>
          <w:left w:w="56" w:type="dxa"/>
          <w:right w:w="56" w:type="dxa"/>
        </w:tblCellMar>
        <w:tblLook w:val="0000" w:firstRow="0" w:lastRow="0" w:firstColumn="0" w:lastColumn="0" w:noHBand="0" w:noVBand="0"/>
      </w:tblPr>
      <w:tblGrid>
        <w:gridCol w:w="5070"/>
        <w:gridCol w:w="1309"/>
        <w:gridCol w:w="1792"/>
        <w:gridCol w:w="3339"/>
      </w:tblGrid>
      <w:tr w:rsidR="00D9130B" w14:paraId="78E5FB20" w14:textId="77777777" w:rsidTr="006C3D6B">
        <w:tc>
          <w:tcPr>
            <w:tcW w:w="5070" w:type="dxa"/>
          </w:tcPr>
          <w:p w14:paraId="1041C3D8" w14:textId="77777777" w:rsidR="00D9130B" w:rsidRDefault="00D9130B" w:rsidP="00D51563">
            <w:pPr>
              <w:spacing w:after="120"/>
              <w:rPr>
                <w:sz w:val="32"/>
              </w:rPr>
            </w:pPr>
          </w:p>
        </w:tc>
        <w:tc>
          <w:tcPr>
            <w:tcW w:w="6440" w:type="dxa"/>
            <w:gridSpan w:val="3"/>
            <w:vAlign w:val="bottom"/>
          </w:tcPr>
          <w:p w14:paraId="4602EA5E" w14:textId="77777777" w:rsidR="00D9130B" w:rsidRDefault="00D9130B" w:rsidP="00D51563">
            <w:pPr>
              <w:spacing w:after="120"/>
              <w:rPr>
                <w:sz w:val="32"/>
              </w:rPr>
            </w:pPr>
          </w:p>
        </w:tc>
      </w:tr>
      <w:tr w:rsidR="00D9130B" w:rsidRPr="002D1AA6" w14:paraId="399DD648" w14:textId="77777777" w:rsidTr="006C3D6B">
        <w:tc>
          <w:tcPr>
            <w:tcW w:w="5070" w:type="dxa"/>
          </w:tcPr>
          <w:p w14:paraId="29DFF8CE" w14:textId="77777777" w:rsidR="00D9130B" w:rsidRPr="00D9130B" w:rsidRDefault="00D9130B" w:rsidP="006C3D6B">
            <w:r w:rsidRPr="00D9130B">
              <w:t>Chief Executives of District Councils</w:t>
            </w:r>
          </w:p>
        </w:tc>
        <w:tc>
          <w:tcPr>
            <w:tcW w:w="6440" w:type="dxa"/>
            <w:gridSpan w:val="3"/>
            <w:vAlign w:val="bottom"/>
          </w:tcPr>
          <w:p w14:paraId="1058CC2F" w14:textId="77777777" w:rsidR="00D9130B" w:rsidRPr="00D9130B" w:rsidRDefault="00D9130B" w:rsidP="006C3D6B">
            <w:pPr>
              <w:spacing w:line="360" w:lineRule="auto"/>
            </w:pPr>
            <w:r w:rsidRPr="00D9130B">
              <w:t>Local Government Policy Division</w:t>
            </w:r>
            <w:r w:rsidRPr="00D9130B">
              <w:br/>
              <w:t>Finance Branch</w:t>
            </w:r>
          </w:p>
        </w:tc>
      </w:tr>
      <w:tr w:rsidR="00D9130B" w:rsidRPr="002D1AA6" w14:paraId="2924B423" w14:textId="77777777" w:rsidTr="006C3D6B">
        <w:trPr>
          <w:cantSplit/>
        </w:trPr>
        <w:tc>
          <w:tcPr>
            <w:tcW w:w="5070" w:type="dxa"/>
            <w:vMerge w:val="restart"/>
          </w:tcPr>
          <w:p w14:paraId="77324C43" w14:textId="77777777" w:rsidR="00D9130B" w:rsidRPr="00F2008D" w:rsidRDefault="00D9130B" w:rsidP="00D51563"/>
        </w:tc>
        <w:tc>
          <w:tcPr>
            <w:tcW w:w="6440" w:type="dxa"/>
            <w:gridSpan w:val="3"/>
          </w:tcPr>
          <w:p w14:paraId="4B39CCCC" w14:textId="77777777" w:rsidR="00D9130B" w:rsidRPr="00D9130B" w:rsidRDefault="00D9130B" w:rsidP="006C3D6B">
            <w:bookmarkStart w:id="0" w:name="SenderAddress"/>
            <w:bookmarkEnd w:id="0"/>
            <w:r w:rsidRPr="00D9130B">
              <w:t>Level 4</w:t>
            </w:r>
          </w:p>
          <w:p w14:paraId="037282C8" w14:textId="77777777" w:rsidR="00D9130B" w:rsidRPr="00D9130B" w:rsidRDefault="00D9130B" w:rsidP="006C3D6B">
            <w:r w:rsidRPr="00D9130B">
              <w:t>Causeway Exchange</w:t>
            </w:r>
          </w:p>
          <w:p w14:paraId="5B0FEFDF" w14:textId="77777777" w:rsidR="00D9130B" w:rsidRPr="00D9130B" w:rsidRDefault="00D9130B" w:rsidP="006C3D6B">
            <w:r w:rsidRPr="00D9130B">
              <w:t>1-7 Bedford Street</w:t>
            </w:r>
          </w:p>
          <w:p w14:paraId="0D722737" w14:textId="77777777" w:rsidR="00D9130B" w:rsidRPr="00D9130B" w:rsidRDefault="00D9130B" w:rsidP="006C3D6B">
            <w:r w:rsidRPr="00D9130B">
              <w:t>Town Parks</w:t>
            </w:r>
          </w:p>
          <w:p w14:paraId="6F571D5A" w14:textId="77777777" w:rsidR="00D9130B" w:rsidRPr="00D9130B" w:rsidRDefault="00D9130B" w:rsidP="006C3D6B">
            <w:r w:rsidRPr="00D9130B">
              <w:t>BELFAST</w:t>
            </w:r>
          </w:p>
          <w:p w14:paraId="7C0E049F" w14:textId="77777777" w:rsidR="00D9130B" w:rsidRPr="00D9130B" w:rsidRDefault="00D9130B" w:rsidP="006C3D6B">
            <w:r w:rsidRPr="00D9130B">
              <w:t>BT2 7EG</w:t>
            </w:r>
          </w:p>
          <w:p w14:paraId="40D43C93" w14:textId="77777777" w:rsidR="00D9130B" w:rsidRPr="00D9130B" w:rsidRDefault="00D9130B" w:rsidP="006C3D6B"/>
        </w:tc>
      </w:tr>
      <w:tr w:rsidR="00D9130B" w:rsidRPr="002D1AA6" w14:paraId="718724A5" w14:textId="77777777" w:rsidTr="006C3D6B">
        <w:trPr>
          <w:cantSplit/>
        </w:trPr>
        <w:tc>
          <w:tcPr>
            <w:tcW w:w="5070" w:type="dxa"/>
            <w:vMerge/>
            <w:vAlign w:val="center"/>
          </w:tcPr>
          <w:p w14:paraId="001F694D" w14:textId="77777777" w:rsidR="00D9130B" w:rsidRDefault="00D9130B" w:rsidP="00D51563"/>
        </w:tc>
        <w:tc>
          <w:tcPr>
            <w:tcW w:w="1309" w:type="dxa"/>
          </w:tcPr>
          <w:p w14:paraId="5017667E" w14:textId="77777777" w:rsidR="00D9130B" w:rsidRPr="006C3D6B" w:rsidRDefault="00D9130B" w:rsidP="006C3D6B">
            <w:pPr>
              <w:ind w:right="-281"/>
              <w:rPr>
                <w:rFonts w:cs="Arial"/>
              </w:rPr>
            </w:pPr>
            <w:r w:rsidRPr="006C3D6B">
              <w:rPr>
                <w:rFonts w:cs="Arial"/>
              </w:rPr>
              <w:t>Telephone:</w:t>
            </w:r>
          </w:p>
        </w:tc>
        <w:tc>
          <w:tcPr>
            <w:tcW w:w="5129" w:type="dxa"/>
            <w:gridSpan w:val="2"/>
          </w:tcPr>
          <w:p w14:paraId="2CC3E078" w14:textId="77777777" w:rsidR="00D9130B" w:rsidRPr="006C3D6B" w:rsidRDefault="00D9130B" w:rsidP="006C3D6B">
            <w:pPr>
              <w:rPr>
                <w:rFonts w:cs="Arial"/>
              </w:rPr>
            </w:pPr>
            <w:r w:rsidRPr="006C3D6B">
              <w:rPr>
                <w:rFonts w:cs="Arial"/>
              </w:rPr>
              <w:t>02890 823375</w:t>
            </w:r>
          </w:p>
        </w:tc>
      </w:tr>
      <w:tr w:rsidR="00D9130B" w:rsidRPr="002D1AA6" w14:paraId="1366F873" w14:textId="77777777" w:rsidTr="006C3D6B">
        <w:trPr>
          <w:cantSplit/>
        </w:trPr>
        <w:tc>
          <w:tcPr>
            <w:tcW w:w="5070" w:type="dxa"/>
            <w:vMerge/>
            <w:vAlign w:val="center"/>
          </w:tcPr>
          <w:p w14:paraId="6895D1F7" w14:textId="77777777" w:rsidR="00D9130B" w:rsidRDefault="00D9130B" w:rsidP="00D51563"/>
        </w:tc>
        <w:tc>
          <w:tcPr>
            <w:tcW w:w="1309" w:type="dxa"/>
          </w:tcPr>
          <w:p w14:paraId="56A4CCAB" w14:textId="77777777" w:rsidR="00D9130B" w:rsidRPr="006C3D6B" w:rsidRDefault="00D9130B" w:rsidP="006C3D6B">
            <w:pPr>
              <w:rPr>
                <w:rFonts w:cs="Arial"/>
              </w:rPr>
            </w:pPr>
            <w:r w:rsidRPr="006C3D6B">
              <w:rPr>
                <w:rFonts w:cs="Arial"/>
              </w:rPr>
              <w:t>Email:</w:t>
            </w:r>
          </w:p>
        </w:tc>
        <w:tc>
          <w:tcPr>
            <w:tcW w:w="5129" w:type="dxa"/>
            <w:gridSpan w:val="2"/>
          </w:tcPr>
          <w:p w14:paraId="0B4C9118" w14:textId="77777777" w:rsidR="00D9130B" w:rsidRPr="006C3D6B" w:rsidRDefault="00D9130B" w:rsidP="006C3D6B">
            <w:pPr>
              <w:ind w:left="29"/>
              <w:rPr>
                <w:rFonts w:cs="Arial"/>
              </w:rPr>
            </w:pPr>
            <w:r w:rsidRPr="006C3D6B">
              <w:rPr>
                <w:rFonts w:cs="Arial"/>
              </w:rPr>
              <w:t>jeff.glass@communities-ni.gov.uk</w:t>
            </w:r>
          </w:p>
        </w:tc>
      </w:tr>
      <w:tr w:rsidR="00D9130B" w:rsidRPr="002D1AA6" w14:paraId="12A354B4" w14:textId="77777777" w:rsidTr="006C3D6B">
        <w:trPr>
          <w:cantSplit/>
        </w:trPr>
        <w:tc>
          <w:tcPr>
            <w:tcW w:w="5070" w:type="dxa"/>
            <w:vMerge/>
            <w:vAlign w:val="center"/>
          </w:tcPr>
          <w:p w14:paraId="70560620" w14:textId="77777777" w:rsidR="00D9130B" w:rsidRDefault="00D9130B" w:rsidP="00D51563"/>
        </w:tc>
        <w:tc>
          <w:tcPr>
            <w:tcW w:w="3101" w:type="dxa"/>
            <w:gridSpan w:val="2"/>
          </w:tcPr>
          <w:p w14:paraId="2F35FC3A" w14:textId="77777777" w:rsidR="00D9130B" w:rsidRPr="006C3D6B" w:rsidRDefault="00D9130B" w:rsidP="006C3D6B">
            <w:pPr>
              <w:rPr>
                <w:rFonts w:cs="Arial"/>
              </w:rPr>
            </w:pPr>
            <w:r w:rsidRPr="006C3D6B">
              <w:rPr>
                <w:rFonts w:cs="Arial"/>
              </w:rPr>
              <w:t>Our Ref:</w:t>
            </w:r>
          </w:p>
        </w:tc>
        <w:tc>
          <w:tcPr>
            <w:tcW w:w="3339" w:type="dxa"/>
          </w:tcPr>
          <w:p w14:paraId="451A07A0" w14:textId="77777777" w:rsidR="00D9130B" w:rsidRPr="006C3D6B" w:rsidRDefault="00D9130B" w:rsidP="006C3D6B">
            <w:pPr>
              <w:rPr>
                <w:rFonts w:cs="Arial"/>
              </w:rPr>
            </w:pPr>
          </w:p>
        </w:tc>
      </w:tr>
      <w:tr w:rsidR="00D9130B" w:rsidRPr="002D1AA6" w14:paraId="0936F5CD" w14:textId="77777777" w:rsidTr="006C3D6B">
        <w:trPr>
          <w:cantSplit/>
        </w:trPr>
        <w:tc>
          <w:tcPr>
            <w:tcW w:w="5070" w:type="dxa"/>
            <w:vMerge/>
            <w:vAlign w:val="center"/>
          </w:tcPr>
          <w:p w14:paraId="1EF52D1F" w14:textId="77777777" w:rsidR="00D9130B" w:rsidRDefault="00D9130B" w:rsidP="00D51563"/>
        </w:tc>
        <w:tc>
          <w:tcPr>
            <w:tcW w:w="3101" w:type="dxa"/>
            <w:gridSpan w:val="2"/>
          </w:tcPr>
          <w:p w14:paraId="3ED0CCC9" w14:textId="77777777" w:rsidR="00D9130B" w:rsidRPr="006C3D6B" w:rsidRDefault="00D9130B" w:rsidP="006C3D6B">
            <w:pPr>
              <w:rPr>
                <w:rFonts w:cs="Arial"/>
              </w:rPr>
            </w:pPr>
            <w:r w:rsidRPr="006C3D6B">
              <w:rPr>
                <w:rFonts w:cs="Arial"/>
              </w:rPr>
              <w:t>Your ref:</w:t>
            </w:r>
          </w:p>
        </w:tc>
        <w:tc>
          <w:tcPr>
            <w:tcW w:w="3339" w:type="dxa"/>
          </w:tcPr>
          <w:p w14:paraId="6B4D22A5" w14:textId="77777777" w:rsidR="00D9130B" w:rsidRPr="006C3D6B" w:rsidRDefault="00D9130B" w:rsidP="006C3D6B">
            <w:pPr>
              <w:rPr>
                <w:rFonts w:cs="Arial"/>
              </w:rPr>
            </w:pPr>
          </w:p>
        </w:tc>
      </w:tr>
      <w:tr w:rsidR="00D9130B" w:rsidRPr="002D1AA6" w14:paraId="68AA8BDD" w14:textId="77777777" w:rsidTr="006C3D6B">
        <w:trPr>
          <w:cantSplit/>
        </w:trPr>
        <w:tc>
          <w:tcPr>
            <w:tcW w:w="5070" w:type="dxa"/>
            <w:vMerge/>
            <w:vAlign w:val="center"/>
          </w:tcPr>
          <w:p w14:paraId="1C8075A4" w14:textId="77777777" w:rsidR="00D9130B" w:rsidRDefault="00D9130B" w:rsidP="00D51563"/>
        </w:tc>
        <w:tc>
          <w:tcPr>
            <w:tcW w:w="3101" w:type="dxa"/>
            <w:gridSpan w:val="2"/>
          </w:tcPr>
          <w:p w14:paraId="072DE8F4" w14:textId="43AAB6D5" w:rsidR="00D9130B" w:rsidRPr="006C3D6B" w:rsidRDefault="00D9130B" w:rsidP="006C3D6B">
            <w:pPr>
              <w:rPr>
                <w:rFonts w:cs="Arial"/>
              </w:rPr>
            </w:pPr>
            <w:r w:rsidRPr="006C3D6B">
              <w:rPr>
                <w:rFonts w:cs="Arial"/>
              </w:rPr>
              <w:t>Date</w:t>
            </w:r>
            <w:r w:rsidR="00081325" w:rsidRPr="006C3D6B">
              <w:rPr>
                <w:rFonts w:cs="Arial"/>
              </w:rPr>
              <w:t xml:space="preserve"> 7 </w:t>
            </w:r>
            <w:r w:rsidR="00BF1E91" w:rsidRPr="006C3D6B">
              <w:rPr>
                <w:rFonts w:cs="Arial"/>
              </w:rPr>
              <w:t>Novemb</w:t>
            </w:r>
            <w:r w:rsidRPr="006C3D6B">
              <w:rPr>
                <w:rFonts w:cs="Arial"/>
              </w:rPr>
              <w:t>er</w:t>
            </w:r>
            <w:r w:rsidR="006C3D6B">
              <w:rPr>
                <w:rFonts w:cs="Arial"/>
              </w:rPr>
              <w:t xml:space="preserve"> </w:t>
            </w:r>
            <w:r w:rsidRPr="006C3D6B">
              <w:rPr>
                <w:rFonts w:cs="Arial"/>
              </w:rPr>
              <w:t>2016</w:t>
            </w:r>
          </w:p>
        </w:tc>
        <w:tc>
          <w:tcPr>
            <w:tcW w:w="3339" w:type="dxa"/>
          </w:tcPr>
          <w:p w14:paraId="074E79FD" w14:textId="77777777" w:rsidR="00D9130B" w:rsidRPr="006C3D6B" w:rsidRDefault="00D9130B" w:rsidP="006C3D6B">
            <w:pPr>
              <w:rPr>
                <w:rFonts w:cs="Arial"/>
              </w:rPr>
            </w:pPr>
          </w:p>
        </w:tc>
      </w:tr>
    </w:tbl>
    <w:p w14:paraId="71C49CE3" w14:textId="77777777" w:rsidR="00D9130B" w:rsidRDefault="00D9130B" w:rsidP="00D9130B">
      <w:pPr>
        <w:widowControl w:val="0"/>
        <w:autoSpaceDE w:val="0"/>
        <w:autoSpaceDN w:val="0"/>
        <w:adjustRightInd w:val="0"/>
        <w:ind w:right="-76"/>
        <w:jc w:val="center"/>
        <w:rPr>
          <w:rFonts w:cs="Arial"/>
          <w:position w:val="-1"/>
        </w:rPr>
      </w:pPr>
    </w:p>
    <w:p w14:paraId="223BBA55" w14:textId="77777777" w:rsidR="0075307E" w:rsidRDefault="0075307E" w:rsidP="00A132A5">
      <w:pPr>
        <w:widowControl w:val="0"/>
        <w:autoSpaceDE w:val="0"/>
        <w:autoSpaceDN w:val="0"/>
        <w:adjustRightInd w:val="0"/>
        <w:ind w:right="-76"/>
        <w:rPr>
          <w:rFonts w:cs="Arial"/>
          <w:position w:val="-1"/>
        </w:rPr>
      </w:pPr>
    </w:p>
    <w:p w14:paraId="7C540A84" w14:textId="77777777" w:rsidR="0075307E" w:rsidRDefault="0075307E" w:rsidP="00A132A5">
      <w:pPr>
        <w:widowControl w:val="0"/>
        <w:autoSpaceDE w:val="0"/>
        <w:autoSpaceDN w:val="0"/>
        <w:adjustRightInd w:val="0"/>
        <w:ind w:right="-76"/>
        <w:rPr>
          <w:rFonts w:cs="Arial"/>
          <w:position w:val="-1"/>
        </w:rPr>
      </w:pPr>
    </w:p>
    <w:p w14:paraId="72851839" w14:textId="77777777" w:rsidR="0075307E" w:rsidRDefault="0075307E" w:rsidP="00A132A5">
      <w:pPr>
        <w:widowControl w:val="0"/>
        <w:autoSpaceDE w:val="0"/>
        <w:autoSpaceDN w:val="0"/>
        <w:adjustRightInd w:val="0"/>
        <w:ind w:right="-76"/>
        <w:rPr>
          <w:rFonts w:cs="Arial"/>
          <w:position w:val="-1"/>
        </w:rPr>
      </w:pPr>
    </w:p>
    <w:p w14:paraId="3A5A8EF2" w14:textId="77777777" w:rsidR="0075307E" w:rsidRDefault="0075307E" w:rsidP="00A132A5">
      <w:pPr>
        <w:widowControl w:val="0"/>
        <w:autoSpaceDE w:val="0"/>
        <w:autoSpaceDN w:val="0"/>
        <w:adjustRightInd w:val="0"/>
        <w:ind w:right="-76"/>
        <w:rPr>
          <w:rFonts w:cs="Arial"/>
          <w:position w:val="-1"/>
        </w:rPr>
      </w:pPr>
    </w:p>
    <w:p w14:paraId="1EC3971E" w14:textId="76FF472D" w:rsidR="00A132A5" w:rsidRPr="004F0ED9" w:rsidRDefault="00A132A5" w:rsidP="00A132A5">
      <w:pPr>
        <w:widowControl w:val="0"/>
        <w:autoSpaceDE w:val="0"/>
        <w:autoSpaceDN w:val="0"/>
        <w:adjustRightInd w:val="0"/>
        <w:ind w:right="-76"/>
        <w:rPr>
          <w:rFonts w:cs="Arial"/>
        </w:rPr>
      </w:pPr>
      <w:r w:rsidRPr="004F0ED9">
        <w:rPr>
          <w:rFonts w:cs="Arial"/>
          <w:position w:val="-1"/>
        </w:rPr>
        <w:lastRenderedPageBreak/>
        <w:t>Dear</w:t>
      </w:r>
      <w:r>
        <w:rPr>
          <w:rFonts w:cs="Arial"/>
          <w:position w:val="-1"/>
        </w:rPr>
        <w:t xml:space="preserve"> Sir/Madam</w:t>
      </w:r>
    </w:p>
    <w:p w14:paraId="50892E0B" w14:textId="77777777" w:rsidR="00A132A5" w:rsidRPr="00FC2308" w:rsidRDefault="00A132A5" w:rsidP="00A132A5">
      <w:pPr>
        <w:widowControl w:val="0"/>
        <w:autoSpaceDE w:val="0"/>
        <w:autoSpaceDN w:val="0"/>
        <w:adjustRightInd w:val="0"/>
        <w:spacing w:before="6"/>
        <w:rPr>
          <w:rFonts w:cs="Arial"/>
          <w:sz w:val="22"/>
          <w:szCs w:val="22"/>
        </w:rPr>
      </w:pPr>
    </w:p>
    <w:p w14:paraId="39B83529" w14:textId="77777777" w:rsidR="00A132A5" w:rsidRPr="002C7A43" w:rsidRDefault="00A132A5" w:rsidP="0075307E">
      <w:pPr>
        <w:pStyle w:val="Heading1"/>
      </w:pPr>
      <w:r>
        <w:t xml:space="preserve"> </w:t>
      </w:r>
      <w:r w:rsidRPr="002C7A43">
        <w:t xml:space="preserve">Circular LG </w:t>
      </w:r>
      <w:r w:rsidR="00EB2A2F">
        <w:t>19</w:t>
      </w:r>
      <w:r w:rsidRPr="002C7A43">
        <w:t>/2016</w:t>
      </w:r>
      <w:r w:rsidR="002C7A43" w:rsidRPr="002C7A43">
        <w:t xml:space="preserve"> GUIDANCE ON PROMPT PAYMENTS </w:t>
      </w:r>
    </w:p>
    <w:p w14:paraId="1F6616E2" w14:textId="77777777" w:rsidR="00A132A5" w:rsidRPr="006C3D6B" w:rsidRDefault="00A132A5" w:rsidP="006C3D6B">
      <w:pPr>
        <w:spacing w:line="360" w:lineRule="auto"/>
        <w:rPr>
          <w:rFonts w:cs="Arial"/>
        </w:rPr>
      </w:pPr>
      <w:r w:rsidRPr="006C3D6B">
        <w:rPr>
          <w:rFonts w:cs="Arial"/>
        </w:rPr>
        <w:t xml:space="preserve">The Department of the Environment issued guidance (Local Government Circular 17/2013) on prompt payments and the recording of invoice payments in October 2013. After consultation with local government and a review of the process the Department for Communities is issuing this circular to supersede </w:t>
      </w:r>
      <w:r w:rsidR="00936BE0" w:rsidRPr="006C3D6B">
        <w:rPr>
          <w:rFonts w:cs="Arial"/>
        </w:rPr>
        <w:t xml:space="preserve">Circular </w:t>
      </w:r>
      <w:r w:rsidRPr="006C3D6B">
        <w:rPr>
          <w:rFonts w:cs="Arial"/>
        </w:rPr>
        <w:t>LG</w:t>
      </w:r>
      <w:r w:rsidR="00936BE0" w:rsidRPr="006C3D6B">
        <w:rPr>
          <w:rFonts w:cs="Arial"/>
        </w:rPr>
        <w:t xml:space="preserve"> </w:t>
      </w:r>
      <w:r w:rsidRPr="006C3D6B">
        <w:rPr>
          <w:rFonts w:cs="Arial"/>
        </w:rPr>
        <w:t xml:space="preserve">17/2013. </w:t>
      </w:r>
    </w:p>
    <w:p w14:paraId="5779CA16" w14:textId="77777777" w:rsidR="00EB2A2F" w:rsidRPr="006C3D6B" w:rsidRDefault="00EB2A2F" w:rsidP="006C3D6B">
      <w:pPr>
        <w:spacing w:line="360" w:lineRule="auto"/>
        <w:rPr>
          <w:rFonts w:cs="Arial"/>
        </w:rPr>
      </w:pPr>
      <w:r w:rsidRPr="006C3D6B">
        <w:rPr>
          <w:rFonts w:cs="Arial"/>
        </w:rPr>
        <w:t>As per Procuremen</w:t>
      </w:r>
      <w:r w:rsidR="004F1698" w:rsidRPr="006C3D6B">
        <w:rPr>
          <w:rFonts w:cs="Arial"/>
        </w:rPr>
        <w:t>t Policy Note – Prompt Payment Policy and Reporting of P</w:t>
      </w:r>
      <w:r w:rsidRPr="006C3D6B">
        <w:rPr>
          <w:rFonts w:cs="Arial"/>
        </w:rPr>
        <w:t>erformance Action Note 05/15</w:t>
      </w:r>
      <w:r w:rsidR="00D609DA" w:rsidRPr="006C3D6B">
        <w:rPr>
          <w:rFonts w:cs="Arial"/>
        </w:rPr>
        <w:t xml:space="preserve"> -</w:t>
      </w:r>
      <w:r w:rsidRPr="006C3D6B">
        <w:rPr>
          <w:rFonts w:cs="Arial"/>
        </w:rPr>
        <w:t xml:space="preserve"> “Government is committed to creating a supportive environment in which ambitious businesses can flourish. Late payment is a key issue for business, especially smaller businesses as it can adversely affect their cash flow and jeopardises their ability to trade. The Government recognises that the public sector should set a strong example by paying promptly”. </w:t>
      </w:r>
    </w:p>
    <w:p w14:paraId="270168C1" w14:textId="77777777" w:rsidR="00A132A5" w:rsidRPr="006C3D6B" w:rsidRDefault="00A132A5" w:rsidP="006C3D6B">
      <w:pPr>
        <w:spacing w:line="360" w:lineRule="auto"/>
        <w:rPr>
          <w:rFonts w:cs="Arial"/>
        </w:rPr>
      </w:pPr>
      <w:r w:rsidRPr="006C3D6B">
        <w:rPr>
          <w:rFonts w:cs="Arial"/>
        </w:rPr>
        <w:t xml:space="preserve">Managing Public Money NI requires </w:t>
      </w:r>
      <w:r w:rsidR="00936BE0" w:rsidRPr="006C3D6B">
        <w:rPr>
          <w:rFonts w:cs="Arial"/>
        </w:rPr>
        <w:t>D</w:t>
      </w:r>
      <w:r w:rsidRPr="006C3D6B">
        <w:rPr>
          <w:rFonts w:cs="Arial"/>
        </w:rPr>
        <w:t xml:space="preserve">epartments, </w:t>
      </w:r>
      <w:r w:rsidR="00936BE0" w:rsidRPr="006C3D6B">
        <w:rPr>
          <w:rFonts w:cs="Arial"/>
        </w:rPr>
        <w:t>A</w:t>
      </w:r>
      <w:r w:rsidRPr="006C3D6B">
        <w:rPr>
          <w:rFonts w:cs="Arial"/>
        </w:rPr>
        <w:t>gencies and NDPBs to pay invoices accurately and on time to avoid late payment penalties. All public authorities are required to pay suppliers within 30 calendar days of receipt on an undisputed invoice.</w:t>
      </w:r>
    </w:p>
    <w:p w14:paraId="6E731BD4" w14:textId="77777777" w:rsidR="00A132A5" w:rsidRPr="006C3D6B" w:rsidRDefault="00A132A5" w:rsidP="006C3D6B">
      <w:pPr>
        <w:spacing w:line="360" w:lineRule="auto"/>
        <w:rPr>
          <w:rFonts w:cs="Arial"/>
        </w:rPr>
      </w:pPr>
      <w:r w:rsidRPr="006C3D6B">
        <w:rPr>
          <w:rFonts w:cs="Arial"/>
        </w:rPr>
        <w:t xml:space="preserve">The statutory payment of interest and other compensation recovery costs and entitlements are not compulsory. It is for the supplier to decide </w:t>
      </w:r>
      <w:proofErr w:type="gramStart"/>
      <w:r w:rsidRPr="006C3D6B">
        <w:rPr>
          <w:rFonts w:cs="Arial"/>
        </w:rPr>
        <w:t>whether or not</w:t>
      </w:r>
      <w:proofErr w:type="gramEnd"/>
      <w:r w:rsidRPr="006C3D6B">
        <w:rPr>
          <w:rFonts w:cs="Arial"/>
        </w:rPr>
        <w:t xml:space="preserve"> to use the rights made available to it.</w:t>
      </w:r>
    </w:p>
    <w:p w14:paraId="7493205E" w14:textId="77777777" w:rsidR="00A132A5" w:rsidRPr="006C3D6B" w:rsidRDefault="00A132A5" w:rsidP="006C3D6B">
      <w:pPr>
        <w:spacing w:line="360" w:lineRule="auto"/>
        <w:rPr>
          <w:rFonts w:cs="Arial"/>
          <w:lang w:eastAsia="en-US"/>
        </w:rPr>
      </w:pPr>
      <w:r w:rsidRPr="006C3D6B">
        <w:rPr>
          <w:rFonts w:cs="Arial"/>
          <w:lang w:eastAsia="en-US"/>
        </w:rPr>
        <w:t>Government Payment terms were defined in the policy document released on 12 December 2008 called Prompt Payment Guidance for Public Sector Organisations. Whenever possible, Central Government bodies should endeavour to make payments to suppliers within 10 days. The aim of the policy is to speed up cash flow from the public sector to its suppliers, particularly SMEs.</w:t>
      </w:r>
    </w:p>
    <w:p w14:paraId="7F288EB6" w14:textId="77777777" w:rsidR="00623AC5" w:rsidRPr="006C3D6B" w:rsidRDefault="00623AC5" w:rsidP="0075307E">
      <w:pPr>
        <w:pStyle w:val="Heading2"/>
      </w:pPr>
      <w:r w:rsidRPr="006C3D6B">
        <w:t>Northern Ireland Executive Prompt Payment Policy</w:t>
      </w:r>
    </w:p>
    <w:p w14:paraId="51F7E323" w14:textId="77777777" w:rsidR="00623AC5" w:rsidRPr="006C3D6B" w:rsidRDefault="00623AC5" w:rsidP="006C3D6B">
      <w:pPr>
        <w:spacing w:line="360" w:lineRule="auto"/>
        <w:rPr>
          <w:rFonts w:cs="Arial"/>
        </w:rPr>
      </w:pPr>
      <w:r w:rsidRPr="006C3D6B">
        <w:rPr>
          <w:rFonts w:cs="Arial"/>
        </w:rPr>
        <w:t>In line with the Northern Ireland Executive’s policy on prompt payment,</w:t>
      </w:r>
      <w:r w:rsidR="00D9130B" w:rsidRPr="006C3D6B">
        <w:rPr>
          <w:rFonts w:cs="Arial"/>
        </w:rPr>
        <w:t xml:space="preserve"> </w:t>
      </w:r>
      <w:r w:rsidRPr="006C3D6B">
        <w:rPr>
          <w:rFonts w:cs="Arial"/>
        </w:rPr>
        <w:t>Departments aim to pay at least 90% of valid invoices within 10 working days.</w:t>
      </w:r>
      <w:r w:rsidR="00D9130B" w:rsidRPr="006C3D6B">
        <w:rPr>
          <w:rFonts w:cs="Arial"/>
        </w:rPr>
        <w:t xml:space="preserve"> </w:t>
      </w:r>
      <w:r w:rsidRPr="006C3D6B">
        <w:rPr>
          <w:rFonts w:cs="Arial"/>
        </w:rPr>
        <w:t>This practice helps business cash flow and, although it is not a contractual</w:t>
      </w:r>
      <w:r w:rsidR="00D9130B" w:rsidRPr="006C3D6B">
        <w:rPr>
          <w:rFonts w:cs="Arial"/>
        </w:rPr>
        <w:t xml:space="preserve"> </w:t>
      </w:r>
      <w:r w:rsidRPr="006C3D6B">
        <w:rPr>
          <w:rFonts w:cs="Arial"/>
        </w:rPr>
        <w:t>obligation, Departments should encourage contractors to implement similar</w:t>
      </w:r>
      <w:r w:rsidR="00D9130B" w:rsidRPr="006C3D6B">
        <w:rPr>
          <w:rFonts w:cs="Arial"/>
        </w:rPr>
        <w:t xml:space="preserve"> </w:t>
      </w:r>
      <w:r w:rsidRPr="006C3D6B">
        <w:rPr>
          <w:rFonts w:cs="Arial"/>
        </w:rPr>
        <w:t xml:space="preserve">prompt payment practice to </w:t>
      </w:r>
      <w:r w:rsidRPr="006C3D6B">
        <w:rPr>
          <w:rFonts w:cs="Arial"/>
        </w:rPr>
        <w:lastRenderedPageBreak/>
        <w:t>subcontractors and to foster it within their supply</w:t>
      </w:r>
      <w:r w:rsidR="00D9130B" w:rsidRPr="006C3D6B">
        <w:rPr>
          <w:rFonts w:cs="Arial"/>
        </w:rPr>
        <w:t xml:space="preserve"> </w:t>
      </w:r>
      <w:r w:rsidRPr="006C3D6B">
        <w:rPr>
          <w:rFonts w:cs="Arial"/>
        </w:rPr>
        <w:t xml:space="preserve">chains through </w:t>
      </w:r>
      <w:r w:rsidRPr="006C3D6B">
        <w:rPr>
          <w:rFonts w:cs="Arial"/>
          <w:iCs/>
        </w:rPr>
        <w:t>voluntary agreements.</w:t>
      </w:r>
    </w:p>
    <w:p w14:paraId="5D54770C" w14:textId="77777777" w:rsidR="00A132A5" w:rsidRPr="006C3D6B" w:rsidRDefault="00A132A5" w:rsidP="006C3D6B">
      <w:pPr>
        <w:spacing w:line="360" w:lineRule="auto"/>
        <w:rPr>
          <w:rFonts w:cs="Arial"/>
          <w:lang w:eastAsia="en-US"/>
        </w:rPr>
      </w:pPr>
      <w:r w:rsidRPr="006C3D6B">
        <w:rPr>
          <w:rFonts w:cs="Arial"/>
          <w:lang w:eastAsia="en-US"/>
        </w:rPr>
        <w:t>Public Sector organisations are bound by the Late Payment of Commercial Debts (Interest) Act 1988 (as amended by the Late Payment of Commercial Debt Regulations 2002 (SI 1674) and Late Payment of Commercial Debt Regulations 2013 (SI 395).</w:t>
      </w:r>
    </w:p>
    <w:p w14:paraId="0A595AA2" w14:textId="77777777" w:rsidR="00A132A5" w:rsidRPr="006C3D6B" w:rsidRDefault="00A132A5" w:rsidP="006C3D6B">
      <w:pPr>
        <w:spacing w:line="360" w:lineRule="auto"/>
        <w:rPr>
          <w:rFonts w:cs="Arial"/>
          <w:lang w:eastAsia="en-US"/>
        </w:rPr>
      </w:pPr>
      <w:r w:rsidRPr="006C3D6B">
        <w:rPr>
          <w:rFonts w:cs="Arial"/>
          <w:lang w:eastAsia="en-US"/>
        </w:rPr>
        <w:t xml:space="preserve">The main changes from Circular LG 17/2013 </w:t>
      </w:r>
      <w:r w:rsidR="00623AC5" w:rsidRPr="006C3D6B">
        <w:rPr>
          <w:rFonts w:cs="Arial"/>
          <w:lang w:eastAsia="en-US"/>
        </w:rPr>
        <w:t xml:space="preserve">are </w:t>
      </w:r>
      <w:r w:rsidRPr="006C3D6B">
        <w:rPr>
          <w:rFonts w:cs="Arial"/>
          <w:lang w:eastAsia="en-US"/>
        </w:rPr>
        <w:t>as follows:</w:t>
      </w:r>
    </w:p>
    <w:p w14:paraId="2FD10020" w14:textId="77777777" w:rsidR="00A132A5" w:rsidRPr="006C3D6B" w:rsidRDefault="00D609DA" w:rsidP="006C3D6B">
      <w:pPr>
        <w:spacing w:line="360" w:lineRule="auto"/>
        <w:rPr>
          <w:rFonts w:cs="Arial"/>
          <w:lang w:eastAsia="en-US"/>
        </w:rPr>
      </w:pPr>
      <w:r w:rsidRPr="006C3D6B">
        <w:rPr>
          <w:rFonts w:cs="Arial"/>
          <w:lang w:eastAsia="en-US"/>
        </w:rPr>
        <w:t xml:space="preserve">Councils will continue </w:t>
      </w:r>
      <w:r w:rsidR="00A132A5" w:rsidRPr="006C3D6B">
        <w:rPr>
          <w:rFonts w:cs="Arial"/>
          <w:lang w:eastAsia="en-US"/>
        </w:rPr>
        <w:t>to provide prompt payment statistics in the format shown in Annex A</w:t>
      </w:r>
      <w:r w:rsidRPr="006C3D6B">
        <w:rPr>
          <w:rFonts w:cs="Arial"/>
          <w:lang w:eastAsia="en-US"/>
        </w:rPr>
        <w:t xml:space="preserve">. However, on a quarterly basis, councils will be required to publish their prompt payment statistics </w:t>
      </w:r>
      <w:r w:rsidR="00A132A5" w:rsidRPr="006C3D6B">
        <w:rPr>
          <w:rFonts w:cs="Arial"/>
          <w:lang w:eastAsia="en-US"/>
        </w:rPr>
        <w:t xml:space="preserve">on their individual websites and include explanatory notes </w:t>
      </w:r>
      <w:r w:rsidRPr="006C3D6B">
        <w:rPr>
          <w:rFonts w:cs="Arial"/>
          <w:lang w:eastAsia="en-US"/>
        </w:rPr>
        <w:t xml:space="preserve">on their performance. </w:t>
      </w:r>
      <w:r w:rsidR="00A132A5" w:rsidRPr="006C3D6B">
        <w:rPr>
          <w:rFonts w:cs="Arial"/>
          <w:lang w:eastAsia="en-US"/>
        </w:rPr>
        <w:t xml:space="preserve">This </w:t>
      </w:r>
      <w:r w:rsidR="00B66A83" w:rsidRPr="006C3D6B">
        <w:rPr>
          <w:rFonts w:cs="Arial"/>
          <w:lang w:eastAsia="en-US"/>
        </w:rPr>
        <w:t xml:space="preserve">should enhance </w:t>
      </w:r>
      <w:r w:rsidR="00A132A5" w:rsidRPr="006C3D6B">
        <w:rPr>
          <w:rFonts w:cs="Arial"/>
          <w:lang w:eastAsia="en-US"/>
        </w:rPr>
        <w:t>openness and transparency.</w:t>
      </w:r>
      <w:r w:rsidR="00051FE7" w:rsidRPr="006C3D6B">
        <w:rPr>
          <w:rFonts w:cs="Arial"/>
          <w:lang w:eastAsia="en-US"/>
        </w:rPr>
        <w:t xml:space="preserve"> </w:t>
      </w:r>
      <w:r w:rsidR="00051FE7" w:rsidRPr="006C3D6B">
        <w:rPr>
          <w:rFonts w:cs="Arial"/>
          <w:color w:val="000000" w:themeColor="text1"/>
          <w:lang w:eastAsia="en-US"/>
        </w:rPr>
        <w:t>The explanations referred would be on generic causes of late payment rather than on an individual case to case basis.</w:t>
      </w:r>
    </w:p>
    <w:p w14:paraId="62788D71" w14:textId="77777777" w:rsidR="00A132A5" w:rsidRPr="006C3D6B" w:rsidRDefault="00BF1E91" w:rsidP="006C3D6B">
      <w:pPr>
        <w:spacing w:line="360" w:lineRule="auto"/>
        <w:rPr>
          <w:rFonts w:cs="Arial"/>
        </w:rPr>
      </w:pPr>
      <w:r w:rsidRPr="006C3D6B">
        <w:rPr>
          <w:rFonts w:cs="Arial"/>
          <w:lang w:eastAsia="en-US"/>
        </w:rPr>
        <w:t xml:space="preserve">There will be </w:t>
      </w:r>
      <w:r w:rsidR="00A132A5" w:rsidRPr="006C3D6B">
        <w:rPr>
          <w:rFonts w:cs="Arial"/>
          <w:lang w:eastAsia="en-US"/>
        </w:rPr>
        <w:t>additional categories on the information provided within</w:t>
      </w:r>
      <w:r w:rsidRPr="006C3D6B">
        <w:rPr>
          <w:rFonts w:cs="Arial"/>
          <w:lang w:eastAsia="en-US"/>
        </w:rPr>
        <w:t xml:space="preserve"> both the quarterly returns made to the Department and </w:t>
      </w:r>
      <w:r w:rsidR="00A132A5" w:rsidRPr="006C3D6B">
        <w:rPr>
          <w:rFonts w:cs="Arial"/>
          <w:lang w:eastAsia="en-US"/>
        </w:rPr>
        <w:t xml:space="preserve">the annual council accounts. These are </w:t>
      </w:r>
      <w:r w:rsidR="00A132A5" w:rsidRPr="006C3D6B">
        <w:rPr>
          <w:rFonts w:cs="Arial"/>
        </w:rPr>
        <w:t>to include total number of invoices received and the overall amount, the number of invoices that were disputed and the average number of days it takes to pay an invoice.</w:t>
      </w:r>
      <w:r w:rsidR="00051FE7" w:rsidRPr="006C3D6B">
        <w:rPr>
          <w:rFonts w:cs="Arial"/>
        </w:rPr>
        <w:t xml:space="preserve"> </w:t>
      </w:r>
    </w:p>
    <w:p w14:paraId="6E0FFB15" w14:textId="77777777" w:rsidR="00A132A5" w:rsidRPr="006C3D6B" w:rsidRDefault="00A132A5" w:rsidP="0075307E">
      <w:pPr>
        <w:pStyle w:val="Heading2"/>
        <w:rPr>
          <w:lang w:eastAsia="en-US"/>
        </w:rPr>
      </w:pPr>
      <w:r w:rsidRPr="006C3D6B">
        <w:rPr>
          <w:lang w:eastAsia="en-US"/>
        </w:rPr>
        <w:t>Measurement of Prompt Payment Performance</w:t>
      </w:r>
    </w:p>
    <w:p w14:paraId="516620EC" w14:textId="6F9643F2" w:rsidR="00A132A5" w:rsidRPr="006C3D6B" w:rsidRDefault="00A132A5" w:rsidP="006C3D6B">
      <w:pPr>
        <w:spacing w:line="360" w:lineRule="auto"/>
        <w:rPr>
          <w:rFonts w:cs="Arial"/>
          <w:lang w:eastAsia="en-US"/>
        </w:rPr>
      </w:pPr>
      <w:r w:rsidRPr="006C3D6B">
        <w:rPr>
          <w:rFonts w:cs="Arial"/>
          <w:lang w:eastAsia="en-US"/>
        </w:rPr>
        <w:t>The measurement of prompt payment performance should be calculated as follows:</w:t>
      </w:r>
    </w:p>
    <w:p w14:paraId="51F37BD5" w14:textId="72B9A0F5" w:rsidR="00A132A5" w:rsidRPr="006C3D6B" w:rsidRDefault="00A132A5" w:rsidP="006C3D6B">
      <w:pPr>
        <w:spacing w:line="360" w:lineRule="auto"/>
        <w:rPr>
          <w:rFonts w:cs="Arial"/>
          <w:lang w:eastAsia="en-US"/>
        </w:rPr>
      </w:pPr>
      <w:r w:rsidRPr="006C3D6B">
        <w:rPr>
          <w:rFonts w:cs="Arial"/>
          <w:lang w:eastAsia="en-US"/>
        </w:rPr>
        <w:t>(a/b) multiplied by 100</w:t>
      </w:r>
    </w:p>
    <w:p w14:paraId="04E284DB" w14:textId="77777777" w:rsidR="00A132A5" w:rsidRPr="006C3D6B" w:rsidRDefault="00A132A5" w:rsidP="006C3D6B">
      <w:pPr>
        <w:spacing w:line="360" w:lineRule="auto"/>
        <w:rPr>
          <w:rFonts w:cs="Arial"/>
          <w:lang w:eastAsia="en-US"/>
        </w:rPr>
      </w:pPr>
      <w:proofErr w:type="gramStart"/>
      <w:r w:rsidRPr="006C3D6B">
        <w:rPr>
          <w:rFonts w:cs="Arial"/>
          <w:lang w:eastAsia="en-US"/>
        </w:rPr>
        <w:t>Where</w:t>
      </w:r>
      <w:proofErr w:type="gramEnd"/>
      <w:r w:rsidRPr="006C3D6B">
        <w:rPr>
          <w:rFonts w:cs="Arial"/>
          <w:lang w:eastAsia="en-US"/>
        </w:rPr>
        <w:t xml:space="preserve"> </w:t>
      </w:r>
    </w:p>
    <w:p w14:paraId="4A46F892" w14:textId="77777777" w:rsidR="00A132A5" w:rsidRPr="006C3D6B" w:rsidRDefault="00A132A5" w:rsidP="006C3D6B">
      <w:pPr>
        <w:spacing w:line="360" w:lineRule="auto"/>
        <w:rPr>
          <w:rFonts w:cs="Arial"/>
          <w:lang w:eastAsia="en-US"/>
        </w:rPr>
      </w:pPr>
      <w:r w:rsidRPr="006C3D6B">
        <w:rPr>
          <w:rFonts w:cs="Arial"/>
          <w:b/>
          <w:lang w:eastAsia="en-US"/>
        </w:rPr>
        <w:t>a</w:t>
      </w:r>
      <w:r w:rsidRPr="006C3D6B">
        <w:rPr>
          <w:rFonts w:cs="Arial"/>
          <w:lang w:eastAsia="en-US"/>
        </w:rPr>
        <w:t xml:space="preserve"> = number of invoices for commercial goods and services paid within X days of receipt of a valid invoice (where X is 30 calendar days or 10 working days) and;</w:t>
      </w:r>
    </w:p>
    <w:p w14:paraId="5C7287CC" w14:textId="77777777" w:rsidR="00A132A5" w:rsidRPr="006C3D6B" w:rsidRDefault="00A132A5" w:rsidP="006C3D6B">
      <w:pPr>
        <w:spacing w:line="360" w:lineRule="auto"/>
        <w:rPr>
          <w:rFonts w:cs="Arial"/>
          <w:lang w:eastAsia="en-US"/>
        </w:rPr>
      </w:pPr>
      <w:r w:rsidRPr="006C3D6B">
        <w:rPr>
          <w:rFonts w:cs="Arial"/>
          <w:b/>
          <w:lang w:eastAsia="en-US"/>
        </w:rPr>
        <w:t>b</w:t>
      </w:r>
      <w:r w:rsidRPr="006C3D6B">
        <w:rPr>
          <w:rFonts w:cs="Arial"/>
          <w:lang w:eastAsia="en-US"/>
        </w:rPr>
        <w:t xml:space="preserve"> = total number of valid invoices. </w:t>
      </w:r>
    </w:p>
    <w:p w14:paraId="4989CD46" w14:textId="77777777" w:rsidR="00623AC5" w:rsidRPr="006C3D6B" w:rsidRDefault="00623AC5" w:rsidP="006C3D6B">
      <w:pPr>
        <w:spacing w:line="360" w:lineRule="auto"/>
        <w:rPr>
          <w:rFonts w:cs="Arial"/>
        </w:rPr>
      </w:pPr>
      <w:r w:rsidRPr="006C3D6B">
        <w:rPr>
          <w:rFonts w:cs="Arial"/>
          <w:bCs/>
          <w:color w:val="000000"/>
        </w:rPr>
        <w:t xml:space="preserve">In answer to the frequently asked question on how long do I have to confirm an invoice as valid and undisputed? </w:t>
      </w:r>
      <w:r w:rsidRPr="006C3D6B">
        <w:rPr>
          <w:rFonts w:cs="Arial"/>
          <w:color w:val="000000"/>
        </w:rPr>
        <w:t xml:space="preserve">The Public Contracts Regulations 2015 (PCRs) place a requirement on you (public sector buyers) to include in contracts provisions requiring invoices to be verified in a timely manner. In accordance with the PCRs, </w:t>
      </w:r>
      <w:r w:rsidRPr="006C3D6B">
        <w:rPr>
          <w:rFonts w:cs="Arial"/>
          <w:color w:val="000000"/>
        </w:rPr>
        <w:lastRenderedPageBreak/>
        <w:t>undue delay is not sufficient justification for failing to regard an invoice as valid and undisputed. Therefore, you should make every effort to verify a relevant invoice without undue delay.</w:t>
      </w:r>
    </w:p>
    <w:p w14:paraId="4694E1F4" w14:textId="77777777" w:rsidR="00623AC5" w:rsidRPr="006C3D6B" w:rsidRDefault="00623AC5" w:rsidP="006C3D6B">
      <w:pPr>
        <w:spacing w:line="360" w:lineRule="auto"/>
        <w:rPr>
          <w:rFonts w:cs="Arial"/>
        </w:rPr>
      </w:pPr>
      <w:r w:rsidRPr="006C3D6B">
        <w:rPr>
          <w:rFonts w:cs="Arial"/>
          <w:color w:val="000000"/>
        </w:rPr>
        <w:t>Statutory guidance published by the Cabinet Office, which you must have regard to</w:t>
      </w:r>
      <w:r w:rsidRPr="006C3D6B">
        <w:rPr>
          <w:rStyle w:val="FootnoteReference"/>
          <w:rFonts w:cs="Arial"/>
          <w:color w:val="000000"/>
        </w:rPr>
        <w:footnoteReference w:id="1"/>
      </w:r>
      <w:r w:rsidRPr="006C3D6B">
        <w:rPr>
          <w:rFonts w:cs="Arial"/>
          <w:color w:val="000000"/>
        </w:rPr>
        <w:t>, suggests you should take no more than 7 calendar days from receipt (i.e. received at the designated payment address) to confirm invoices as valid and undisputed. The statutory guidance also suggests (as a model contract term) that in the event of an undue delay (i.e. not confirming an invoice as valid and undisputed within the suggested 7 calendar days), the invoice shall be regarded as valid and undisputed.</w:t>
      </w:r>
    </w:p>
    <w:p w14:paraId="03D3A240" w14:textId="77777777" w:rsidR="00A132A5" w:rsidRPr="006C3D6B" w:rsidRDefault="00A132A5" w:rsidP="006C3D6B">
      <w:pPr>
        <w:spacing w:line="360" w:lineRule="auto"/>
        <w:rPr>
          <w:rFonts w:cs="Arial"/>
        </w:rPr>
      </w:pPr>
      <w:r w:rsidRPr="006C3D6B">
        <w:rPr>
          <w:rFonts w:cs="Arial"/>
        </w:rPr>
        <w:t xml:space="preserve">This guidance should help to </w:t>
      </w:r>
      <w:r w:rsidR="00EB2A2F" w:rsidRPr="006C3D6B">
        <w:rPr>
          <w:rFonts w:cs="Arial"/>
        </w:rPr>
        <w:t>enhance</w:t>
      </w:r>
      <w:r w:rsidRPr="006C3D6B">
        <w:rPr>
          <w:rFonts w:cs="Arial"/>
        </w:rPr>
        <w:t xml:space="preserve"> the comparability of council prompt payment performance statistics both with that of other councils, and those of central government.   </w:t>
      </w:r>
    </w:p>
    <w:p w14:paraId="30AF2375" w14:textId="2D0DC53E" w:rsidR="00D9130B" w:rsidRDefault="00A132A5" w:rsidP="006C3D6B">
      <w:pPr>
        <w:spacing w:line="360" w:lineRule="auto"/>
        <w:rPr>
          <w:rFonts w:cs="Arial"/>
        </w:rPr>
      </w:pPr>
      <w:r w:rsidRPr="006C3D6B">
        <w:rPr>
          <w:rFonts w:cs="Arial"/>
        </w:rPr>
        <w:t>Yours faithfully</w:t>
      </w:r>
    </w:p>
    <w:p w14:paraId="2201CEF9" w14:textId="77777777" w:rsidR="006C3D6B" w:rsidRPr="006C3D6B" w:rsidRDefault="006C3D6B" w:rsidP="006C3D6B">
      <w:pPr>
        <w:spacing w:line="360" w:lineRule="auto"/>
        <w:rPr>
          <w:rFonts w:cs="Arial"/>
        </w:rPr>
      </w:pPr>
      <w:r w:rsidRPr="006C3D6B">
        <w:rPr>
          <w:rFonts w:cs="Arial"/>
        </w:rPr>
        <w:t>Jeff Glass</w:t>
      </w:r>
    </w:p>
    <w:p w14:paraId="5BEDA0D8" w14:textId="77777777" w:rsidR="0075307E" w:rsidRDefault="0075307E" w:rsidP="006C3D6B">
      <w:pPr>
        <w:spacing w:line="360" w:lineRule="auto"/>
        <w:rPr>
          <w:rFonts w:cs="Arial"/>
          <w:b/>
        </w:rPr>
      </w:pPr>
    </w:p>
    <w:p w14:paraId="30995D11" w14:textId="77777777" w:rsidR="0075307E" w:rsidRDefault="0075307E" w:rsidP="006C3D6B">
      <w:pPr>
        <w:spacing w:line="360" w:lineRule="auto"/>
        <w:rPr>
          <w:rFonts w:cs="Arial"/>
          <w:b/>
        </w:rPr>
      </w:pPr>
    </w:p>
    <w:p w14:paraId="7BEB347F" w14:textId="77777777" w:rsidR="0075307E" w:rsidRDefault="0075307E" w:rsidP="006C3D6B">
      <w:pPr>
        <w:spacing w:line="360" w:lineRule="auto"/>
        <w:rPr>
          <w:rFonts w:cs="Arial"/>
          <w:b/>
        </w:rPr>
      </w:pPr>
    </w:p>
    <w:p w14:paraId="71871399" w14:textId="77777777" w:rsidR="0075307E" w:rsidRDefault="0075307E" w:rsidP="006C3D6B">
      <w:pPr>
        <w:spacing w:line="360" w:lineRule="auto"/>
        <w:rPr>
          <w:rFonts w:cs="Arial"/>
          <w:b/>
        </w:rPr>
      </w:pPr>
    </w:p>
    <w:p w14:paraId="52AF350B" w14:textId="77777777" w:rsidR="0075307E" w:rsidRDefault="0075307E" w:rsidP="006C3D6B">
      <w:pPr>
        <w:spacing w:line="360" w:lineRule="auto"/>
        <w:rPr>
          <w:rFonts w:cs="Arial"/>
          <w:b/>
        </w:rPr>
      </w:pPr>
    </w:p>
    <w:p w14:paraId="678F3CD1" w14:textId="77777777" w:rsidR="0075307E" w:rsidRDefault="0075307E" w:rsidP="006C3D6B">
      <w:pPr>
        <w:spacing w:line="360" w:lineRule="auto"/>
        <w:rPr>
          <w:rFonts w:cs="Arial"/>
          <w:b/>
        </w:rPr>
      </w:pPr>
    </w:p>
    <w:p w14:paraId="5E482A1F" w14:textId="77777777" w:rsidR="0075307E" w:rsidRDefault="0075307E" w:rsidP="006C3D6B">
      <w:pPr>
        <w:spacing w:line="360" w:lineRule="auto"/>
        <w:rPr>
          <w:rFonts w:cs="Arial"/>
          <w:b/>
        </w:rPr>
      </w:pPr>
    </w:p>
    <w:p w14:paraId="2CABD739" w14:textId="77777777" w:rsidR="0075307E" w:rsidRDefault="0075307E" w:rsidP="006C3D6B">
      <w:pPr>
        <w:spacing w:line="360" w:lineRule="auto"/>
        <w:rPr>
          <w:rFonts w:cs="Arial"/>
          <w:b/>
        </w:rPr>
      </w:pPr>
    </w:p>
    <w:p w14:paraId="75E7CC3D" w14:textId="77777777" w:rsidR="0075307E" w:rsidRDefault="0075307E" w:rsidP="006C3D6B">
      <w:pPr>
        <w:spacing w:line="360" w:lineRule="auto"/>
        <w:rPr>
          <w:rFonts w:cs="Arial"/>
          <w:b/>
        </w:rPr>
      </w:pPr>
    </w:p>
    <w:p w14:paraId="0CF9B976" w14:textId="3F41DFF3" w:rsidR="00A132A5" w:rsidRPr="006C3D6B" w:rsidRDefault="00A132A5" w:rsidP="0075307E">
      <w:pPr>
        <w:pStyle w:val="Heading2"/>
      </w:pPr>
      <w:r w:rsidRPr="006C3D6B">
        <w:lastRenderedPageBreak/>
        <w:t>Annex A</w:t>
      </w:r>
    </w:p>
    <w:p w14:paraId="0A9C308F" w14:textId="77777777" w:rsidR="00A132A5" w:rsidRPr="006C3D6B" w:rsidRDefault="00A132A5" w:rsidP="006C3D6B">
      <w:pPr>
        <w:spacing w:line="360" w:lineRule="auto"/>
        <w:rPr>
          <w:rFonts w:cs="Arial"/>
        </w:rPr>
      </w:pPr>
      <w:r w:rsidRPr="006C3D6B">
        <w:rPr>
          <w:rFonts w:cs="Arial"/>
        </w:rPr>
        <w:t xml:space="preserve">District councils are encouraged to pay suppliers as promptly as possible and to endeavour to meet the </w:t>
      </w:r>
      <w:proofErr w:type="gramStart"/>
      <w:r w:rsidRPr="006C3D6B">
        <w:rPr>
          <w:rFonts w:cs="Arial"/>
        </w:rPr>
        <w:t>10 day</w:t>
      </w:r>
      <w:proofErr w:type="gramEnd"/>
      <w:r w:rsidRPr="006C3D6B">
        <w:rPr>
          <w:rFonts w:cs="Arial"/>
        </w:rPr>
        <w:t xml:space="preserve"> prompt payment commitment made by </w:t>
      </w:r>
      <w:r w:rsidR="00936BE0" w:rsidRPr="006C3D6B">
        <w:rPr>
          <w:rFonts w:cs="Arial"/>
        </w:rPr>
        <w:t xml:space="preserve">the </w:t>
      </w:r>
      <w:r w:rsidRPr="006C3D6B">
        <w:rPr>
          <w:rFonts w:cs="Arial"/>
        </w:rPr>
        <w:t>Northern Ireland</w:t>
      </w:r>
      <w:r w:rsidR="00936BE0" w:rsidRPr="006C3D6B">
        <w:rPr>
          <w:rFonts w:cs="Arial"/>
        </w:rPr>
        <w:t xml:space="preserve"> Executive</w:t>
      </w:r>
      <w:r w:rsidRPr="006C3D6B">
        <w:rPr>
          <w:rFonts w:cs="Arial"/>
        </w:rPr>
        <w:t>.  Councils have been asked, as a note to the accounts, to complete the information below. Councils are asked on a 3 monthly basis to continue to provide this prompt payment information as illustrated in the format below. Councils are also requested to continually review their payment performance.</w:t>
      </w:r>
    </w:p>
    <w:p w14:paraId="7E88B117" w14:textId="77777777" w:rsidR="00A132A5" w:rsidRPr="006C3D6B" w:rsidRDefault="00A132A5" w:rsidP="006C3D6B">
      <w:pPr>
        <w:spacing w:line="360" w:lineRule="auto"/>
        <w:rPr>
          <w:rFonts w:cs="Arial"/>
        </w:rPr>
      </w:pPr>
      <w:r w:rsidRPr="006C3D6B">
        <w:rPr>
          <w:rFonts w:cs="Arial"/>
        </w:rPr>
        <w:t>Council name:</w:t>
      </w:r>
    </w:p>
    <w:p w14:paraId="32B471F5" w14:textId="77777777" w:rsidR="00A132A5" w:rsidRPr="006C3D6B" w:rsidRDefault="00A132A5" w:rsidP="006C3D6B">
      <w:pPr>
        <w:spacing w:line="360" w:lineRule="auto"/>
        <w:rPr>
          <w:rFonts w:cs="Arial"/>
        </w:rPr>
      </w:pPr>
      <w:r w:rsidRPr="006C3D6B">
        <w:rPr>
          <w:rFonts w:cs="Arial"/>
        </w:rPr>
        <w:t xml:space="preserve">The default target for paying invoices, where no other terms are agreed, is xx days.  </w:t>
      </w:r>
    </w:p>
    <w:p w14:paraId="2CC5235C" w14:textId="77777777" w:rsidR="00A132A5" w:rsidRPr="006C3D6B" w:rsidRDefault="00A132A5" w:rsidP="006C3D6B">
      <w:pPr>
        <w:spacing w:line="360" w:lineRule="auto"/>
        <w:rPr>
          <w:rFonts w:cs="Arial"/>
        </w:rPr>
      </w:pPr>
      <w:r w:rsidRPr="006C3D6B">
        <w:rPr>
          <w:rFonts w:cs="Arial"/>
        </w:rPr>
        <w:t xml:space="preserve">N.B. 30 days target is 30 calendar </w:t>
      </w:r>
      <w:proofErr w:type="gramStart"/>
      <w:r w:rsidRPr="006C3D6B">
        <w:rPr>
          <w:rFonts w:cs="Arial"/>
        </w:rPr>
        <w:t>days</w:t>
      </w:r>
      <w:proofErr w:type="gramEnd"/>
      <w:r w:rsidRPr="006C3D6B">
        <w:rPr>
          <w:rFonts w:cs="Arial"/>
        </w:rPr>
        <w:t xml:space="preserve"> and 10 days is</w:t>
      </w:r>
      <w:r w:rsidR="009536B2" w:rsidRPr="006C3D6B">
        <w:rPr>
          <w:rFonts w:cs="Arial"/>
        </w:rPr>
        <w:t xml:space="preserve"> 10 working days</w:t>
      </w:r>
      <w:r w:rsidRPr="006C3D6B">
        <w:rPr>
          <w:rFonts w:cs="Arial"/>
        </w:rPr>
        <w:t>.</w:t>
      </w:r>
    </w:p>
    <w:p w14:paraId="284E105E" w14:textId="77777777" w:rsidR="00A132A5" w:rsidRPr="006C3D6B" w:rsidRDefault="00A132A5" w:rsidP="006C3D6B">
      <w:pPr>
        <w:spacing w:line="360" w:lineRule="auto"/>
        <w:rPr>
          <w:rFonts w:cs="Arial"/>
        </w:rPr>
      </w:pPr>
      <w:r w:rsidRPr="006C3D6B">
        <w:rPr>
          <w:rFonts w:cs="Arial"/>
        </w:rPr>
        <w:t xml:space="preserve">During the year the Council received xx number of invoices totalling £. </w:t>
      </w:r>
    </w:p>
    <w:p w14:paraId="26B06B34" w14:textId="77777777" w:rsidR="00A132A5" w:rsidRPr="006C3D6B" w:rsidRDefault="00A132A5" w:rsidP="006C3D6B">
      <w:pPr>
        <w:spacing w:line="360" w:lineRule="auto"/>
        <w:rPr>
          <w:rFonts w:cs="Arial"/>
        </w:rPr>
      </w:pPr>
      <w:r w:rsidRPr="006C3D6B">
        <w:rPr>
          <w:rFonts w:cs="Arial"/>
        </w:rPr>
        <w:t>The number of disputed invoices</w:t>
      </w:r>
      <w:r w:rsidR="0063414D" w:rsidRPr="006C3D6B">
        <w:rPr>
          <w:rFonts w:cs="Arial"/>
        </w:rPr>
        <w:t>*</w:t>
      </w:r>
      <w:r w:rsidRPr="006C3D6B">
        <w:rPr>
          <w:rFonts w:cs="Arial"/>
        </w:rPr>
        <w:t xml:space="preserve"> were XX</w:t>
      </w:r>
    </w:p>
    <w:p w14:paraId="710B8D96" w14:textId="77777777" w:rsidR="00A132A5" w:rsidRPr="006C3D6B" w:rsidRDefault="00A132A5" w:rsidP="006C3D6B">
      <w:pPr>
        <w:spacing w:line="360" w:lineRule="auto"/>
        <w:rPr>
          <w:rFonts w:cs="Arial"/>
        </w:rPr>
      </w:pPr>
      <w:r w:rsidRPr="006C3D6B">
        <w:rPr>
          <w:rFonts w:cs="Arial"/>
        </w:rPr>
        <w:t>Council paid xx invoices totalling £xx.</w:t>
      </w:r>
    </w:p>
    <w:p w14:paraId="334F53A8" w14:textId="77777777" w:rsidR="00A132A5" w:rsidRPr="006C3D6B" w:rsidRDefault="00A132A5" w:rsidP="006C3D6B">
      <w:pPr>
        <w:spacing w:line="360" w:lineRule="auto"/>
        <w:rPr>
          <w:rFonts w:cs="Arial"/>
        </w:rPr>
      </w:pPr>
      <w:r w:rsidRPr="006C3D6B">
        <w:rPr>
          <w:rFonts w:cs="Arial"/>
        </w:rPr>
        <w:t xml:space="preserve">The Council paid xx invoices within the </w:t>
      </w:r>
      <w:proofErr w:type="gramStart"/>
      <w:r w:rsidRPr="006C3D6B">
        <w:rPr>
          <w:rFonts w:cs="Arial"/>
        </w:rPr>
        <w:t>30 day</w:t>
      </w:r>
      <w:proofErr w:type="gramEnd"/>
      <w:r w:rsidRPr="006C3D6B">
        <w:rPr>
          <w:rFonts w:cs="Arial"/>
        </w:rPr>
        <w:t xml:space="preserve"> target.</w:t>
      </w:r>
    </w:p>
    <w:p w14:paraId="61B9C978" w14:textId="77777777" w:rsidR="00A132A5" w:rsidRPr="006C3D6B" w:rsidRDefault="00A132A5" w:rsidP="006C3D6B">
      <w:pPr>
        <w:spacing w:line="360" w:lineRule="auto"/>
        <w:rPr>
          <w:rFonts w:cs="Arial"/>
        </w:rPr>
      </w:pPr>
      <w:r w:rsidRPr="006C3D6B">
        <w:rPr>
          <w:rFonts w:cs="Arial"/>
        </w:rPr>
        <w:t xml:space="preserve">The Council paid xx invoices within the </w:t>
      </w:r>
      <w:proofErr w:type="gramStart"/>
      <w:r w:rsidRPr="006C3D6B">
        <w:rPr>
          <w:rFonts w:cs="Arial"/>
        </w:rPr>
        <w:t>10 day</w:t>
      </w:r>
      <w:proofErr w:type="gramEnd"/>
      <w:r w:rsidRPr="006C3D6B">
        <w:rPr>
          <w:rFonts w:cs="Arial"/>
        </w:rPr>
        <w:t xml:space="preserve"> target.</w:t>
      </w:r>
    </w:p>
    <w:p w14:paraId="66A269EE" w14:textId="77777777" w:rsidR="00A132A5" w:rsidRPr="006C3D6B" w:rsidRDefault="00A132A5" w:rsidP="006C3D6B">
      <w:pPr>
        <w:spacing w:line="360" w:lineRule="auto"/>
        <w:rPr>
          <w:rFonts w:cs="Arial"/>
        </w:rPr>
      </w:pPr>
      <w:r w:rsidRPr="006C3D6B">
        <w:rPr>
          <w:rFonts w:cs="Arial"/>
        </w:rPr>
        <w:t xml:space="preserve">The Council paid xx invoices outside of the </w:t>
      </w:r>
      <w:proofErr w:type="gramStart"/>
      <w:r w:rsidRPr="006C3D6B">
        <w:rPr>
          <w:rFonts w:cs="Arial"/>
        </w:rPr>
        <w:t>30 day</w:t>
      </w:r>
      <w:proofErr w:type="gramEnd"/>
      <w:r w:rsidRPr="006C3D6B">
        <w:rPr>
          <w:rFonts w:cs="Arial"/>
        </w:rPr>
        <w:t xml:space="preserve"> target. </w:t>
      </w:r>
    </w:p>
    <w:p w14:paraId="073F33C6" w14:textId="77777777" w:rsidR="00A132A5" w:rsidRPr="006C3D6B" w:rsidRDefault="00A132A5" w:rsidP="006C3D6B">
      <w:pPr>
        <w:spacing w:line="360" w:lineRule="auto"/>
        <w:rPr>
          <w:rFonts w:cs="Arial"/>
        </w:rPr>
      </w:pPr>
      <w:r w:rsidRPr="006C3D6B">
        <w:rPr>
          <w:rFonts w:cs="Arial"/>
        </w:rPr>
        <w:t>The average number of days taken to pay suppliers during the year was xx days.</w:t>
      </w:r>
    </w:p>
    <w:p w14:paraId="520CD87E" w14:textId="77777777" w:rsidR="0063414D" w:rsidRPr="006C3D6B" w:rsidRDefault="0063414D" w:rsidP="006C3D6B">
      <w:pPr>
        <w:spacing w:line="360" w:lineRule="auto"/>
        <w:rPr>
          <w:rFonts w:cs="Arial"/>
        </w:rPr>
      </w:pPr>
      <w:r w:rsidRPr="006C3D6B">
        <w:rPr>
          <w:rFonts w:cs="Arial"/>
        </w:rPr>
        <w:t xml:space="preserve">*Reasons for a disputed invoice </w:t>
      </w:r>
      <w:proofErr w:type="gramStart"/>
      <w:r w:rsidRPr="006C3D6B">
        <w:rPr>
          <w:rFonts w:cs="Arial"/>
        </w:rPr>
        <w:t>include:</w:t>
      </w:r>
      <w:proofErr w:type="gramEnd"/>
      <w:r w:rsidRPr="006C3D6B">
        <w:rPr>
          <w:rFonts w:cs="Arial"/>
        </w:rPr>
        <w:t xml:space="preserve"> Invoice not for correct sum; Invoice does not include the date, supplier name, contact details or bank details; Invoice does not quote relevant Purchase Order.</w:t>
      </w:r>
    </w:p>
    <w:p w14:paraId="51DA3E07" w14:textId="77777777" w:rsidR="0063414D" w:rsidRPr="006C3D6B" w:rsidRDefault="0063414D" w:rsidP="006C3D6B">
      <w:pPr>
        <w:spacing w:line="360" w:lineRule="auto"/>
        <w:rPr>
          <w:rFonts w:cs="Arial"/>
        </w:rPr>
      </w:pPr>
      <w:r w:rsidRPr="006C3D6B">
        <w:rPr>
          <w:rFonts w:cs="Arial"/>
        </w:rPr>
        <w:t>Councils should ensure that in the case of a disputed invoice, the supplier is informed as soon as possible that the invoice is disputed and the reason why. Continuous efforts should be made until the matter is resolved.</w:t>
      </w:r>
    </w:p>
    <w:sectPr w:rsidR="0063414D" w:rsidRPr="006C3D6B" w:rsidSect="0075307E">
      <w:pgSz w:w="11906" w:h="16838"/>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FF73B" w14:textId="77777777" w:rsidR="00EB51DA" w:rsidRDefault="00EB51DA" w:rsidP="00A132A5">
      <w:r>
        <w:separator/>
      </w:r>
    </w:p>
  </w:endnote>
  <w:endnote w:type="continuationSeparator" w:id="0">
    <w:p w14:paraId="1FB2F2AD" w14:textId="77777777" w:rsidR="00EB51DA" w:rsidRDefault="00EB51DA" w:rsidP="00A1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87FAF" w14:textId="77777777" w:rsidR="00EB51DA" w:rsidRDefault="00EB51DA" w:rsidP="00A132A5">
      <w:r>
        <w:separator/>
      </w:r>
    </w:p>
  </w:footnote>
  <w:footnote w:type="continuationSeparator" w:id="0">
    <w:p w14:paraId="05432AD0" w14:textId="77777777" w:rsidR="00EB51DA" w:rsidRDefault="00EB51DA" w:rsidP="00A132A5">
      <w:r>
        <w:continuationSeparator/>
      </w:r>
    </w:p>
  </w:footnote>
  <w:footnote w:id="1">
    <w:p w14:paraId="6EDB2407" w14:textId="77777777" w:rsidR="00623AC5" w:rsidRDefault="00D9130B" w:rsidP="00623AC5">
      <w:pPr>
        <w:pStyle w:val="FootnoteText"/>
      </w:pPr>
      <w:r>
        <w:t>1 Regulation 113 (4) of the P</w:t>
      </w:r>
      <w:r w:rsidR="005B2662">
        <w:t xml:space="preserve">ublic </w:t>
      </w:r>
      <w:r>
        <w:t>C</w:t>
      </w:r>
      <w:r w:rsidR="005B2662">
        <w:t xml:space="preserve">ontract </w:t>
      </w:r>
      <w:r>
        <w:t>R</w:t>
      </w:r>
      <w:r w:rsidR="005B2662">
        <w:t>egulation</w:t>
      </w:r>
      <w:r>
        <w:t>s</w:t>
      </w:r>
      <w:r w:rsidR="005B2662">
        <w:t xml:space="preserve"> 2015</w:t>
      </w:r>
      <w:r>
        <w:t xml:space="preserve"> place an obligation of public sector buyers to have regard to the statutory guidance.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F62AA"/>
    <w:multiLevelType w:val="multilevel"/>
    <w:tmpl w:val="CD7A8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086D13"/>
    <w:multiLevelType w:val="hybridMultilevel"/>
    <w:tmpl w:val="703ABF9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2766654">
    <w:abstractNumId w:val="0"/>
    <w:lvlOverride w:ilvl="0">
      <w:lvl w:ilvl="0">
        <w:numFmt w:val="upperLetter"/>
        <w:lvlText w:val="%1."/>
        <w:lvlJc w:val="left"/>
      </w:lvl>
    </w:lvlOverride>
  </w:num>
  <w:num w:numId="2" w16cid:durableId="1049763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A5"/>
    <w:rsid w:val="00051FE7"/>
    <w:rsid w:val="00081325"/>
    <w:rsid w:val="00212843"/>
    <w:rsid w:val="002C7A43"/>
    <w:rsid w:val="00323D30"/>
    <w:rsid w:val="00435BD6"/>
    <w:rsid w:val="004F1698"/>
    <w:rsid w:val="004F66D0"/>
    <w:rsid w:val="005069A4"/>
    <w:rsid w:val="005B2662"/>
    <w:rsid w:val="00623AC5"/>
    <w:rsid w:val="0063414D"/>
    <w:rsid w:val="006C3D6B"/>
    <w:rsid w:val="0075307E"/>
    <w:rsid w:val="008300C3"/>
    <w:rsid w:val="008406C6"/>
    <w:rsid w:val="00936BE0"/>
    <w:rsid w:val="009536B2"/>
    <w:rsid w:val="00A132A5"/>
    <w:rsid w:val="00A41BD5"/>
    <w:rsid w:val="00AE5262"/>
    <w:rsid w:val="00B66A83"/>
    <w:rsid w:val="00BF1E91"/>
    <w:rsid w:val="00BF458C"/>
    <w:rsid w:val="00C840BA"/>
    <w:rsid w:val="00D609DA"/>
    <w:rsid w:val="00D9130B"/>
    <w:rsid w:val="00DF78F6"/>
    <w:rsid w:val="00EB2A2F"/>
    <w:rsid w:val="00EB51DA"/>
    <w:rsid w:val="00F31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D39F"/>
  <w15:docId w15:val="{A5ED7FD5-9A04-4D6B-98BA-CE6C3B9B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D6B"/>
    <w:pPr>
      <w:spacing w:before="240" w:after="24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6C3D6B"/>
    <w:pPr>
      <w:keepNext/>
      <w:keepLines/>
      <w:spacing w:after="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5307E"/>
    <w:pPr>
      <w:keepNext/>
      <w:keepLines/>
      <w:spacing w:before="40" w:after="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32A5"/>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A132A5"/>
    <w:rPr>
      <w:rFonts w:ascii="Consolas" w:eastAsia="Calibri" w:hAnsi="Consolas" w:cs="Times New Roman"/>
      <w:sz w:val="21"/>
      <w:szCs w:val="21"/>
    </w:rPr>
  </w:style>
  <w:style w:type="paragraph" w:styleId="BodyText">
    <w:name w:val="Body Text"/>
    <w:basedOn w:val="Normal"/>
    <w:link w:val="BodyTextChar"/>
    <w:rsid w:val="00A132A5"/>
    <w:pPr>
      <w:spacing w:line="360" w:lineRule="auto"/>
    </w:pPr>
    <w:rPr>
      <w:rFonts w:cs="Arial"/>
      <w:szCs w:val="20"/>
      <w:lang w:eastAsia="en-US"/>
    </w:rPr>
  </w:style>
  <w:style w:type="character" w:customStyle="1" w:styleId="BodyTextChar">
    <w:name w:val="Body Text Char"/>
    <w:basedOn w:val="DefaultParagraphFont"/>
    <w:link w:val="BodyText"/>
    <w:rsid w:val="00A132A5"/>
    <w:rPr>
      <w:rFonts w:ascii="Arial" w:eastAsia="Times New Roman" w:hAnsi="Arial" w:cs="Arial"/>
      <w:sz w:val="24"/>
      <w:szCs w:val="20"/>
    </w:rPr>
  </w:style>
  <w:style w:type="paragraph" w:styleId="FootnoteText">
    <w:name w:val="footnote text"/>
    <w:basedOn w:val="Normal"/>
    <w:link w:val="FootnoteTextChar"/>
    <w:uiPriority w:val="99"/>
    <w:unhideWhenUsed/>
    <w:rsid w:val="00A132A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A132A5"/>
    <w:rPr>
      <w:sz w:val="20"/>
      <w:szCs w:val="20"/>
    </w:rPr>
  </w:style>
  <w:style w:type="character" w:styleId="FootnoteReference">
    <w:name w:val="footnote reference"/>
    <w:basedOn w:val="DefaultParagraphFont"/>
    <w:uiPriority w:val="99"/>
    <w:unhideWhenUsed/>
    <w:rsid w:val="00A132A5"/>
    <w:rPr>
      <w:vertAlign w:val="superscript"/>
    </w:rPr>
  </w:style>
  <w:style w:type="paragraph" w:styleId="BalloonText">
    <w:name w:val="Balloon Text"/>
    <w:basedOn w:val="Normal"/>
    <w:link w:val="BalloonTextChar"/>
    <w:uiPriority w:val="99"/>
    <w:semiHidden/>
    <w:unhideWhenUsed/>
    <w:rsid w:val="00D9130B"/>
    <w:rPr>
      <w:rFonts w:ascii="Tahoma" w:hAnsi="Tahoma" w:cs="Tahoma"/>
      <w:sz w:val="16"/>
      <w:szCs w:val="16"/>
    </w:rPr>
  </w:style>
  <w:style w:type="character" w:customStyle="1" w:styleId="BalloonTextChar">
    <w:name w:val="Balloon Text Char"/>
    <w:basedOn w:val="DefaultParagraphFont"/>
    <w:link w:val="BalloonText"/>
    <w:uiPriority w:val="99"/>
    <w:semiHidden/>
    <w:rsid w:val="00D9130B"/>
    <w:rPr>
      <w:rFonts w:ascii="Tahoma" w:eastAsia="Times New Roman" w:hAnsi="Tahoma" w:cs="Tahoma"/>
      <w:sz w:val="16"/>
      <w:szCs w:val="16"/>
      <w:lang w:eastAsia="en-GB"/>
    </w:rPr>
  </w:style>
  <w:style w:type="paragraph" w:customStyle="1" w:styleId="Default">
    <w:name w:val="Default"/>
    <w:rsid w:val="00EB2A2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936BE0"/>
    <w:pPr>
      <w:ind w:left="720"/>
      <w:contextualSpacing/>
    </w:pPr>
  </w:style>
  <w:style w:type="paragraph" w:styleId="NormalWeb">
    <w:name w:val="Normal (Web)"/>
    <w:basedOn w:val="Normal"/>
    <w:uiPriority w:val="99"/>
    <w:semiHidden/>
    <w:unhideWhenUsed/>
    <w:rsid w:val="0063414D"/>
    <w:pPr>
      <w:spacing w:before="100" w:beforeAutospacing="1" w:after="100" w:afterAutospacing="1"/>
    </w:pPr>
    <w:rPr>
      <w:rFonts w:eastAsiaTheme="minorHAnsi"/>
    </w:rPr>
  </w:style>
  <w:style w:type="character" w:customStyle="1" w:styleId="Heading1Char">
    <w:name w:val="Heading 1 Char"/>
    <w:basedOn w:val="DefaultParagraphFont"/>
    <w:link w:val="Heading1"/>
    <w:uiPriority w:val="9"/>
    <w:rsid w:val="006C3D6B"/>
    <w:rPr>
      <w:rFonts w:ascii="Arial" w:eastAsiaTheme="majorEastAsia" w:hAnsi="Arial" w:cstheme="majorBidi"/>
      <w:b/>
      <w:color w:val="000000" w:themeColor="text1"/>
      <w:sz w:val="28"/>
      <w:szCs w:val="32"/>
      <w:lang w:eastAsia="en-GB"/>
    </w:rPr>
  </w:style>
  <w:style w:type="character" w:customStyle="1" w:styleId="Heading2Char">
    <w:name w:val="Heading 2 Char"/>
    <w:basedOn w:val="DefaultParagraphFont"/>
    <w:link w:val="Heading2"/>
    <w:uiPriority w:val="9"/>
    <w:rsid w:val="0075307E"/>
    <w:rPr>
      <w:rFonts w:ascii="Arial" w:eastAsiaTheme="majorEastAsia" w:hAnsi="Arial" w:cstheme="majorBidi"/>
      <w:b/>
      <w:color w:val="000000" w:themeColor="text1"/>
      <w:sz w:val="24"/>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239609">
      <w:bodyDiv w:val="1"/>
      <w:marLeft w:val="0"/>
      <w:marRight w:val="0"/>
      <w:marTop w:val="0"/>
      <w:marBottom w:val="0"/>
      <w:divBdr>
        <w:top w:val="none" w:sz="0" w:space="0" w:color="auto"/>
        <w:left w:val="none" w:sz="0" w:space="0" w:color="auto"/>
        <w:bottom w:val="none" w:sz="0" w:space="0" w:color="auto"/>
        <w:right w:val="none" w:sz="0" w:space="0" w:color="auto"/>
      </w:divBdr>
    </w:div>
    <w:div w:id="74665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3A8D3-47E2-4763-90B7-F78CDB38C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1040</Words>
  <Characters>5507</Characters>
  <Application>Microsoft Office Word</Application>
  <DocSecurity>0</DocSecurity>
  <Lines>203</Lines>
  <Paragraphs>62</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Patterson</dc:creator>
  <cp:keywords/>
  <dc:description/>
  <cp:lastModifiedBy>Wilson, Ryan (DfC)</cp:lastModifiedBy>
  <cp:revision>2</cp:revision>
  <cp:lastPrinted>2016-11-01T10:47:00Z</cp:lastPrinted>
  <dcterms:created xsi:type="dcterms:W3CDTF">2026-06-03T09:47:00Z</dcterms:created>
  <dcterms:modified xsi:type="dcterms:W3CDTF">2026-06-03T09:47:00Z</dcterms:modified>
</cp:coreProperties>
</file>